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47CD" w14:textId="15700F60" w:rsidR="00556ABB" w:rsidRPr="00556ABB" w:rsidRDefault="00556ABB" w:rsidP="00556ABB">
      <w:pPr>
        <w:jc w:val="center"/>
        <w:rPr>
          <w:b/>
          <w:bCs/>
        </w:rPr>
      </w:pPr>
      <w:r w:rsidRPr="00556ABB">
        <w:rPr>
          <w:b/>
          <w:bCs/>
        </w:rPr>
        <w:t xml:space="preserve">Anuncio de </w:t>
      </w:r>
      <w:proofErr w:type="gramStart"/>
      <w:r w:rsidRPr="00556ABB">
        <w:rPr>
          <w:b/>
          <w:bCs/>
        </w:rPr>
        <w:t xml:space="preserve">la </w:t>
      </w:r>
      <w:r>
        <w:rPr>
          <w:b/>
          <w:bCs/>
        </w:rPr>
        <w:t xml:space="preserve"> convocatoria</w:t>
      </w:r>
      <w:proofErr w:type="gramEnd"/>
      <w:r w:rsidRPr="00556ABB">
        <w:rPr>
          <w:b/>
          <w:bCs/>
        </w:rPr>
        <w:t xml:space="preserve"> AEI-</w:t>
      </w:r>
      <w:proofErr w:type="spellStart"/>
      <w:r>
        <w:rPr>
          <w:b/>
          <w:bCs/>
        </w:rPr>
        <w:t>CNPq</w:t>
      </w:r>
      <w:proofErr w:type="spellEnd"/>
      <w:r>
        <w:rPr>
          <w:b/>
          <w:bCs/>
        </w:rPr>
        <w:t xml:space="preserve"> </w:t>
      </w:r>
      <w:r w:rsidRPr="00556ABB">
        <w:rPr>
          <w:b/>
          <w:bCs/>
        </w:rPr>
        <w:t xml:space="preserve">para proyectos de investigación conjuntos entre España y </w:t>
      </w:r>
      <w:r>
        <w:rPr>
          <w:b/>
          <w:bCs/>
        </w:rPr>
        <w:t>Brasil</w:t>
      </w:r>
    </w:p>
    <w:p w14:paraId="69EEE4C4" w14:textId="565B2CB3" w:rsidR="00F132D4" w:rsidRPr="00F132D4" w:rsidRDefault="00F132D4" w:rsidP="00F132D4">
      <w:r>
        <w:t>20</w:t>
      </w:r>
      <w:r w:rsidRPr="00F132D4">
        <w:t xml:space="preserve"> </w:t>
      </w:r>
      <w:r>
        <w:t xml:space="preserve">de diciembre </w:t>
      </w:r>
      <w:r w:rsidRPr="00F132D4">
        <w:t>2024</w:t>
      </w:r>
    </w:p>
    <w:p w14:paraId="0CCB2CBE" w14:textId="77777777" w:rsidR="00F132D4" w:rsidRPr="00F132D4" w:rsidRDefault="00F132D4" w:rsidP="00F132D4">
      <w:r w:rsidRPr="00F132D4">
        <w:t xml:space="preserve">El </w:t>
      </w:r>
      <w:proofErr w:type="spellStart"/>
      <w:r w:rsidRPr="00F132D4">
        <w:t>Conselho</w:t>
      </w:r>
      <w:proofErr w:type="spellEnd"/>
      <w:r w:rsidRPr="00F132D4">
        <w:t xml:space="preserve"> Nacional de </w:t>
      </w:r>
      <w:proofErr w:type="spellStart"/>
      <w:r w:rsidRPr="00F132D4">
        <w:t>Desenvolvimento</w:t>
      </w:r>
      <w:proofErr w:type="spellEnd"/>
      <w:r w:rsidRPr="00F132D4">
        <w:t xml:space="preserve"> Científico </w:t>
      </w:r>
      <w:proofErr w:type="spellStart"/>
      <w:r w:rsidRPr="00F132D4">
        <w:t>e</w:t>
      </w:r>
      <w:proofErr w:type="spellEnd"/>
      <w:r w:rsidRPr="00F132D4">
        <w:t xml:space="preserve"> Tecnológico (</w:t>
      </w:r>
      <w:proofErr w:type="spellStart"/>
      <w:r w:rsidRPr="00F132D4">
        <w:t>CNPq</w:t>
      </w:r>
      <w:proofErr w:type="spellEnd"/>
      <w:r w:rsidRPr="00F132D4">
        <w:t>) de Brasil y la Agencia Estatal de Investigación (AEI) anuncian la primera convocatoria para seleccionar proyectos de investigación en dos áreas:</w:t>
      </w:r>
    </w:p>
    <w:p w14:paraId="698019F6" w14:textId="77777777" w:rsidR="00F132D4" w:rsidRPr="00F132D4" w:rsidRDefault="00F132D4" w:rsidP="00F132D4">
      <w:pPr>
        <w:numPr>
          <w:ilvl w:val="0"/>
          <w:numId w:val="1"/>
        </w:numPr>
      </w:pPr>
      <w:r w:rsidRPr="00F132D4">
        <w:t>Área Temática de Ciencias de la Educación.</w:t>
      </w:r>
    </w:p>
    <w:p w14:paraId="7270E142" w14:textId="77777777" w:rsidR="00F132D4" w:rsidRPr="00F132D4" w:rsidRDefault="00F132D4" w:rsidP="00F132D4">
      <w:pPr>
        <w:numPr>
          <w:ilvl w:val="0"/>
          <w:numId w:val="1"/>
        </w:numPr>
      </w:pPr>
      <w:r w:rsidRPr="00F132D4">
        <w:t>Área temática de Energía y Transporte.</w:t>
      </w:r>
    </w:p>
    <w:p w14:paraId="0FE8AC52" w14:textId="77777777" w:rsidR="00A43B58" w:rsidRDefault="00F132D4" w:rsidP="00F132D4">
      <w:r w:rsidRPr="00F132D4">
        <w:t xml:space="preserve">En esta primea convocatoria, el </w:t>
      </w:r>
      <w:r w:rsidR="00794762">
        <w:t xml:space="preserve">investigador principal de la institución </w:t>
      </w:r>
      <w:r w:rsidRPr="00F132D4">
        <w:t>español</w:t>
      </w:r>
      <w:r w:rsidR="00794762">
        <w:t>a</w:t>
      </w:r>
      <w:r w:rsidRPr="00F132D4">
        <w:t xml:space="preserve"> será el responsable de presentar la propuesta bilateral en la convocatoria de Proyectos de Generación de Conocimiento</w:t>
      </w:r>
      <w:r>
        <w:t xml:space="preserve"> (PID) </w:t>
      </w:r>
      <w:r w:rsidRPr="00F132D4">
        <w:t xml:space="preserve">2024 de la AEI. </w:t>
      </w:r>
    </w:p>
    <w:p w14:paraId="7908B660" w14:textId="51475D07" w:rsidR="00F2373C" w:rsidRDefault="00F2373C" w:rsidP="00F132D4">
      <w:pPr>
        <w:rPr>
          <w:rFonts w:ascii="Calibri" w:hAnsi="Calibri" w:cs="Calibri"/>
          <w:sz w:val="24"/>
        </w:rPr>
      </w:pPr>
      <w:r w:rsidRPr="00460FDA">
        <w:rPr>
          <w:rFonts w:ascii="Calibri" w:hAnsi="Calibri" w:cs="Calibri"/>
          <w:sz w:val="24"/>
        </w:rPr>
        <w:t xml:space="preserve">Las propuestas deberán demostrar el valor añadido de la colaboración de los grupos de investigación de </w:t>
      </w:r>
      <w:r>
        <w:rPr>
          <w:rFonts w:ascii="Calibri" w:hAnsi="Calibri" w:cs="Calibri"/>
          <w:sz w:val="24"/>
        </w:rPr>
        <w:t xml:space="preserve">Brasil </w:t>
      </w:r>
      <w:r w:rsidRPr="00460FDA">
        <w:rPr>
          <w:rFonts w:ascii="Calibri" w:hAnsi="Calibri" w:cs="Calibri"/>
          <w:sz w:val="24"/>
        </w:rPr>
        <w:t>y España en el proyecto y deberán exponer como contribuye cada socio, de manera sustancial, al proyecto común. El proyecto deberá ser único e indivisible y será evaluado en su conjunto</w:t>
      </w:r>
    </w:p>
    <w:p w14:paraId="663D9A97" w14:textId="77777777" w:rsidR="00F2373C" w:rsidRPr="00F132D4" w:rsidRDefault="00F2373C" w:rsidP="00F2373C">
      <w:r w:rsidRPr="00F132D4">
        <w:t>Los investigadores principales y restos de participantes en</w:t>
      </w:r>
      <w:r>
        <w:t xml:space="preserve"> el</w:t>
      </w:r>
      <w:r w:rsidRPr="00F132D4">
        <w:t xml:space="preserve"> proyecto deberán cumplir con los requisitos de elegibilidad de sus respectivas agencias financiadoras (AEI y </w:t>
      </w:r>
      <w:proofErr w:type="spellStart"/>
      <w:r w:rsidRPr="00F132D4">
        <w:t>CNPq</w:t>
      </w:r>
      <w:proofErr w:type="spellEnd"/>
      <w:r w:rsidRPr="00F132D4">
        <w:t>).</w:t>
      </w:r>
    </w:p>
    <w:p w14:paraId="6BF99A8E" w14:textId="37E440A3" w:rsidR="00A43B58" w:rsidRDefault="006A5FF1" w:rsidP="00F132D4">
      <w:r>
        <w:t xml:space="preserve">La modalidad de los proyectos podrá ser “orientada” o “no orientada.” Las propuestas bilaterales </w:t>
      </w:r>
      <w:proofErr w:type="gramStart"/>
      <w:r>
        <w:t>se enmarcan dentro del</w:t>
      </w:r>
      <w:proofErr w:type="gramEnd"/>
      <w:r>
        <w:t xml:space="preserve"> </w:t>
      </w:r>
      <w:r w:rsidR="00A43B58">
        <w:t>“Tipo I” que exige que el IP español tenga una tray</w:t>
      </w:r>
      <w:r w:rsidR="00EB3509">
        <w:t xml:space="preserve">ectoria investigadora consolidada igual que los proyectos “Tipo B”. </w:t>
      </w:r>
    </w:p>
    <w:p w14:paraId="0B005BCD" w14:textId="77777777" w:rsidR="006A5FF1" w:rsidRDefault="006A5FF1" w:rsidP="00F132D4">
      <w:r w:rsidRPr="006A5FF1">
        <w:t>Los proyectos podrán realizarse de forma</w:t>
      </w:r>
      <w:r>
        <w:t>:</w:t>
      </w:r>
    </w:p>
    <w:p w14:paraId="1FADB14C" w14:textId="09E1C3F7" w:rsidR="006A5FF1" w:rsidRDefault="006A5FF1" w:rsidP="006A5FF1">
      <w:pPr>
        <w:pStyle w:val="Prrafodelista"/>
        <w:numPr>
          <w:ilvl w:val="0"/>
          <w:numId w:val="2"/>
        </w:numPr>
      </w:pPr>
      <w:r>
        <w:t>I</w:t>
      </w:r>
      <w:r w:rsidRPr="006A5FF1">
        <w:t>ndividual</w:t>
      </w:r>
      <w:r>
        <w:t xml:space="preserve">. Por parte española contará </w:t>
      </w:r>
      <w:r w:rsidRPr="006A5FF1">
        <w:t>con un/a o dos IP y un equipo de investigación</w:t>
      </w:r>
      <w:r>
        <w:t xml:space="preserve"> y </w:t>
      </w:r>
      <w:r w:rsidRPr="006A5FF1">
        <w:t>por la parte extranjera, con un único equipo de investigación, liderado por un/a IP.</w:t>
      </w:r>
    </w:p>
    <w:p w14:paraId="27014598" w14:textId="00F54558" w:rsidR="006A5FF1" w:rsidRDefault="006A5FF1" w:rsidP="006A5FF1">
      <w:pPr>
        <w:pStyle w:val="Prrafodelista"/>
        <w:numPr>
          <w:ilvl w:val="0"/>
          <w:numId w:val="2"/>
        </w:numPr>
      </w:pPr>
      <w:r>
        <w:t>C</w:t>
      </w:r>
      <w:r w:rsidRPr="006A5FF1">
        <w:t>oordinada</w:t>
      </w:r>
      <w:r w:rsidR="00A533F4">
        <w:t>. Por parte española contará</w:t>
      </w:r>
      <w:r w:rsidRPr="006A5FF1">
        <w:t xml:space="preserve"> con</w:t>
      </w:r>
      <w:r>
        <w:t xml:space="preserve"> 2 o 3 </w:t>
      </w:r>
      <w:r w:rsidRPr="006A5FF1">
        <w:t>equipos de investigación</w:t>
      </w:r>
      <w:r>
        <w:t xml:space="preserve"> españoles</w:t>
      </w:r>
      <w:r w:rsidRPr="006A5FF1">
        <w:t>, liderados por un/a o dos IP cada uno, y, por la parte extranjera, con un máximo de dos equipos de investigación, liderados por un/a IP cada uno.</w:t>
      </w:r>
    </w:p>
    <w:p w14:paraId="6F7E9A95" w14:textId="714B2C91" w:rsidR="00F132D4" w:rsidRDefault="00F132D4" w:rsidP="00F132D4">
      <w:r w:rsidRPr="00F132D4">
        <w:t xml:space="preserve">Las propuestas hispano-brasileñas seguirán el mismo procedimiento que el resto de las propuestas nacionales </w:t>
      </w:r>
      <w:r>
        <w:t xml:space="preserve">(PID 2024) </w:t>
      </w:r>
      <w:r w:rsidRPr="00F132D4">
        <w:t>y se redactarán en inglés.</w:t>
      </w:r>
    </w:p>
    <w:p w14:paraId="7E61C32F" w14:textId="23A31224" w:rsidR="00EB3509" w:rsidRDefault="00F132D4" w:rsidP="00F132D4">
      <w:r>
        <w:t xml:space="preserve">Puede acceder a la convocatoria PID 2024 a través del siguiente </w:t>
      </w:r>
      <w:hyperlink r:id="rId5" w:history="1">
        <w:r w:rsidRPr="00A7393C">
          <w:rPr>
            <w:rStyle w:val="Hipervnculo"/>
          </w:rPr>
          <w:t>enlace</w:t>
        </w:r>
      </w:hyperlink>
      <w:r w:rsidR="00A7393C">
        <w:t xml:space="preserve">. </w:t>
      </w:r>
      <w:r w:rsidR="004B6928">
        <w:t>A través de este otro</w:t>
      </w:r>
      <w:r w:rsidR="00EB3509">
        <w:t xml:space="preserve"> </w:t>
      </w:r>
      <w:hyperlink r:id="rId6" w:history="1">
        <w:r w:rsidR="00EB3509" w:rsidRPr="00A7393C">
          <w:rPr>
            <w:rStyle w:val="Hipervnculo"/>
          </w:rPr>
          <w:t>enlace</w:t>
        </w:r>
      </w:hyperlink>
      <w:r w:rsidR="00EB3509">
        <w:t xml:space="preserve"> </w:t>
      </w:r>
      <w:r w:rsidR="004B6928">
        <w:t xml:space="preserve">puede </w:t>
      </w:r>
      <w:r w:rsidR="00A7393C">
        <w:t>accede</w:t>
      </w:r>
      <w:r w:rsidR="004B6928">
        <w:t>r</w:t>
      </w:r>
      <w:r w:rsidR="00A7393C">
        <w:t xml:space="preserve"> a las diferentes aplicaciones, registros y documentos necesarios para presentar las propuestas. </w:t>
      </w:r>
    </w:p>
    <w:p w14:paraId="16AD78D7" w14:textId="51E69A48" w:rsidR="006A175C" w:rsidRDefault="006A175C" w:rsidP="00F132D4">
      <w:bookmarkStart w:id="0" w:name="_Hlk184998818"/>
      <w:r w:rsidRPr="00F132D4">
        <w:t xml:space="preserve">La fecha para la presentación de propuestas conjuntas será </w:t>
      </w:r>
      <w:r>
        <w:t xml:space="preserve">desde el 9 al 31 </w:t>
      </w:r>
      <w:r w:rsidRPr="00F132D4">
        <w:t>enero de 2025</w:t>
      </w:r>
      <w:r>
        <w:t>, cerrándose la aplicación de solicitud a las 14:00 horas de Madrid.</w:t>
      </w:r>
      <w:r w:rsidRPr="00F132D4">
        <w:t xml:space="preserve"> </w:t>
      </w:r>
    </w:p>
    <w:bookmarkEnd w:id="0"/>
    <w:p w14:paraId="66FD3ED6" w14:textId="40B14E4B" w:rsidR="00F132D4" w:rsidRPr="00F132D4" w:rsidRDefault="00F132D4" w:rsidP="00F132D4">
      <w:r w:rsidRPr="00F132D4">
        <w:t xml:space="preserve">La AEI será la agencia encargada de evaluar las propuestas y el </w:t>
      </w:r>
      <w:proofErr w:type="spellStart"/>
      <w:r w:rsidRPr="00F132D4">
        <w:t>CNPq</w:t>
      </w:r>
      <w:proofErr w:type="spellEnd"/>
      <w:r w:rsidRPr="00F132D4">
        <w:t xml:space="preserve"> utilizará las evaluaciones realizadas por la AEI para su decisión final. Las dos agencias acordarán financiar los 6 proyectos mejor evaluados entre ambas áreas.</w:t>
      </w:r>
      <w:r>
        <w:t xml:space="preserve"> </w:t>
      </w:r>
      <w:r w:rsidRPr="00F132D4">
        <w:t xml:space="preserve">Para que un proyecto obtenga financiación en esta modalidad será </w:t>
      </w:r>
      <w:proofErr w:type="gramStart"/>
      <w:r w:rsidRPr="00F132D4">
        <w:t>requisito imprescindible</w:t>
      </w:r>
      <w:proofErr w:type="gramEnd"/>
      <w:r w:rsidRPr="00F132D4">
        <w:t xml:space="preserve"> que el proyecto obtenga financiación por parte de ambas agencias financiadoras.</w:t>
      </w:r>
    </w:p>
    <w:p w14:paraId="29B6B320" w14:textId="3FBE37A6" w:rsidR="006A175C" w:rsidRDefault="006A175C" w:rsidP="006A175C">
      <w:pPr>
        <w:pStyle w:val="PM4Flietext"/>
        <w:jc w:val="both"/>
        <w:rPr>
          <w:rFonts w:ascii="Calibri" w:hAnsi="Calibri" w:cs="Calibri"/>
          <w:sz w:val="24"/>
          <w:lang w:val="es-ES"/>
        </w:rPr>
      </w:pPr>
      <w:r w:rsidRPr="006E3C1B">
        <w:rPr>
          <w:rFonts w:ascii="Calibri" w:hAnsi="Calibri" w:cs="Calibri"/>
          <w:sz w:val="24"/>
          <w:lang w:val="es-ES"/>
        </w:rPr>
        <w:lastRenderedPageBreak/>
        <w:t xml:space="preserve">El investigador principal </w:t>
      </w:r>
      <w:r>
        <w:rPr>
          <w:rFonts w:ascii="Calibri" w:hAnsi="Calibri" w:cs="Calibri"/>
          <w:sz w:val="24"/>
          <w:lang w:val="es-ES"/>
        </w:rPr>
        <w:t>brasileño</w:t>
      </w:r>
      <w:r w:rsidRPr="006E3C1B">
        <w:rPr>
          <w:rFonts w:ascii="Calibri" w:hAnsi="Calibri" w:cs="Calibri"/>
          <w:sz w:val="24"/>
          <w:lang w:val="es-ES"/>
        </w:rPr>
        <w:t xml:space="preserve"> deberá enviar una copia de los documentos de la propuesta a </w:t>
      </w:r>
      <w:proofErr w:type="spellStart"/>
      <w:r>
        <w:rPr>
          <w:rFonts w:ascii="Calibri" w:hAnsi="Calibri" w:cs="Calibri"/>
          <w:sz w:val="24"/>
          <w:lang w:val="es-ES"/>
        </w:rPr>
        <w:t>CNPq</w:t>
      </w:r>
      <w:proofErr w:type="spellEnd"/>
      <w:r>
        <w:rPr>
          <w:rFonts w:ascii="Calibri" w:hAnsi="Calibri" w:cs="Calibri"/>
          <w:sz w:val="24"/>
          <w:lang w:val="es-ES"/>
        </w:rPr>
        <w:t xml:space="preserve"> </w:t>
      </w:r>
      <w:r w:rsidRPr="006E3C1B">
        <w:rPr>
          <w:rFonts w:ascii="Calibri" w:hAnsi="Calibri" w:cs="Calibri"/>
          <w:sz w:val="24"/>
          <w:lang w:val="es-ES"/>
        </w:rPr>
        <w:t xml:space="preserve">en el plazo fijado por </w:t>
      </w:r>
      <w:proofErr w:type="spellStart"/>
      <w:r>
        <w:rPr>
          <w:rFonts w:ascii="Calibri" w:hAnsi="Calibri" w:cs="Calibri"/>
          <w:sz w:val="24"/>
          <w:lang w:val="es-ES"/>
        </w:rPr>
        <w:t>CNPq</w:t>
      </w:r>
      <w:proofErr w:type="spellEnd"/>
      <w:r>
        <w:rPr>
          <w:rFonts w:ascii="Calibri" w:hAnsi="Calibri" w:cs="Calibri"/>
          <w:sz w:val="24"/>
          <w:lang w:val="es-ES"/>
        </w:rPr>
        <w:t xml:space="preserve"> utilizando </w:t>
      </w:r>
      <w:r w:rsidRPr="006E3C1B">
        <w:rPr>
          <w:rFonts w:ascii="Calibri" w:hAnsi="Calibri" w:cs="Calibri"/>
          <w:sz w:val="24"/>
          <w:lang w:val="es-ES"/>
        </w:rPr>
        <w:t xml:space="preserve">sus aplicaciones y </w:t>
      </w:r>
      <w:r>
        <w:rPr>
          <w:rFonts w:ascii="Calibri" w:hAnsi="Calibri" w:cs="Calibri"/>
          <w:sz w:val="24"/>
          <w:lang w:val="es-ES"/>
        </w:rPr>
        <w:t xml:space="preserve">según sus </w:t>
      </w:r>
      <w:r w:rsidRPr="006E3C1B">
        <w:rPr>
          <w:rFonts w:ascii="Calibri" w:hAnsi="Calibri" w:cs="Calibri"/>
          <w:sz w:val="24"/>
          <w:lang w:val="es-ES"/>
        </w:rPr>
        <w:t>normas. De lo contrario, toda la propuesta podrá ser declarada no admisible.</w:t>
      </w:r>
    </w:p>
    <w:p w14:paraId="17DD8EA9" w14:textId="77777777" w:rsidR="006A175C" w:rsidRPr="00F132D4" w:rsidRDefault="006A175C" w:rsidP="00F132D4"/>
    <w:p w14:paraId="3E8A096B" w14:textId="77777777" w:rsidR="00F132D4" w:rsidRPr="00F132D4" w:rsidRDefault="00F132D4" w:rsidP="00F132D4">
      <w:r w:rsidRPr="00F132D4">
        <w:t>Cada agencia nacional financiará a sus equipos nacionales siguiendo sus propias normas y procedimientos. de financiación.</w:t>
      </w:r>
    </w:p>
    <w:p w14:paraId="4F359F40" w14:textId="77777777" w:rsidR="001964BB" w:rsidRPr="00A533F4" w:rsidRDefault="001964BB" w:rsidP="001964BB">
      <w:pPr>
        <w:rPr>
          <w:lang w:val="pt-BR"/>
        </w:rPr>
      </w:pPr>
      <w:r w:rsidRPr="00A533F4">
        <w:rPr>
          <w:lang w:val="pt-BR"/>
        </w:rPr>
        <w:t>Contacto CNPq: </w:t>
      </w:r>
      <w:hyperlink r:id="rId7" w:history="1">
        <w:r w:rsidRPr="00A533F4">
          <w:rPr>
            <w:rStyle w:val="Hipervnculo"/>
            <w:lang w:val="pt-BR"/>
          </w:rPr>
          <w:t>conae@cnpq.br</w:t>
        </w:r>
      </w:hyperlink>
      <w:r w:rsidRPr="00A533F4">
        <w:rPr>
          <w:lang w:val="pt-BR"/>
        </w:rPr>
        <w:t>.</w:t>
      </w:r>
    </w:p>
    <w:p w14:paraId="7E282A14" w14:textId="572B4339" w:rsidR="00F132D4" w:rsidRPr="001964BB" w:rsidRDefault="001964BB" w:rsidP="001964BB">
      <w:pPr>
        <w:rPr>
          <w:lang w:val="pt-BR"/>
        </w:rPr>
      </w:pPr>
      <w:r w:rsidRPr="00F132D4">
        <w:rPr>
          <w:lang w:val="pt-BR"/>
        </w:rPr>
        <w:t>Contacto AEI: </w:t>
      </w:r>
      <w:hyperlink r:id="rId8" w:history="1">
        <w:r w:rsidRPr="00F132D4">
          <w:rPr>
            <w:rStyle w:val="Hipervnculo"/>
            <w:lang w:val="pt-BR"/>
          </w:rPr>
          <w:t>bilat@aei.gob.es</w:t>
        </w:r>
      </w:hyperlink>
    </w:p>
    <w:p w14:paraId="3DC4F184" w14:textId="77777777" w:rsidR="00536368" w:rsidRPr="001964BB" w:rsidRDefault="00536368">
      <w:pPr>
        <w:rPr>
          <w:lang w:val="pt-BR"/>
        </w:rPr>
      </w:pPr>
    </w:p>
    <w:sectPr w:rsidR="00536368" w:rsidRPr="00196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idien LT Std Roman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62050"/>
    <w:multiLevelType w:val="hybridMultilevel"/>
    <w:tmpl w:val="9C504E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2A90"/>
    <w:multiLevelType w:val="multilevel"/>
    <w:tmpl w:val="232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41991">
    <w:abstractNumId w:val="1"/>
  </w:num>
  <w:num w:numId="2" w16cid:durableId="164122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D4"/>
    <w:rsid w:val="001964BB"/>
    <w:rsid w:val="0026167D"/>
    <w:rsid w:val="00331C84"/>
    <w:rsid w:val="004B6928"/>
    <w:rsid w:val="00536368"/>
    <w:rsid w:val="00542361"/>
    <w:rsid w:val="00556ABB"/>
    <w:rsid w:val="00612637"/>
    <w:rsid w:val="006A175C"/>
    <w:rsid w:val="006A5FF1"/>
    <w:rsid w:val="00794762"/>
    <w:rsid w:val="009F5113"/>
    <w:rsid w:val="00A43B58"/>
    <w:rsid w:val="00A533F4"/>
    <w:rsid w:val="00A7393C"/>
    <w:rsid w:val="00DD7BFA"/>
    <w:rsid w:val="00EB3509"/>
    <w:rsid w:val="00F0409C"/>
    <w:rsid w:val="00F132D4"/>
    <w:rsid w:val="00F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81C1"/>
  <w15:chartTrackingRefBased/>
  <w15:docId w15:val="{42BFB5BC-8286-467D-BFDA-7B7BC845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3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3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3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3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3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3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3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3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3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3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3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32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32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32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32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32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32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3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3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3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32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32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32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3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32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32D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132D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2D4"/>
    <w:rPr>
      <w:color w:val="605E5C"/>
      <w:shd w:val="clear" w:color="auto" w:fill="E1DFDD"/>
    </w:rPr>
  </w:style>
  <w:style w:type="paragraph" w:customStyle="1" w:styleId="PM4Flietext">
    <w:name w:val="PM_4_Fließtext"/>
    <w:basedOn w:val="Normal"/>
    <w:qFormat/>
    <w:rsid w:val="006A175C"/>
    <w:pPr>
      <w:spacing w:after="0" w:line="280" w:lineRule="exact"/>
    </w:pPr>
    <w:rPr>
      <w:rFonts w:ascii="Meridien LT Std Roman" w:eastAsia="Cambria" w:hAnsi="Meridien LT Std Roman" w:cs="Times New Roman"/>
      <w:kern w:val="0"/>
      <w:szCs w:val="24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at@aei.gob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ae@cnpq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i.gob.es/convocatorias/buscador-convocatorias/proyectos-generacion-conocimiento-2024/convocatoria" TargetMode="External"/><Relationship Id="rId5" Type="http://schemas.openxmlformats.org/officeDocument/2006/relationships/hyperlink" Target="https://www.aei.gob.es/convocatorias/buscador-convocatorias/proyectos-generacion-conocimiento-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Falcón Morales, Severino</dc:creator>
  <cp:keywords/>
  <dc:description/>
  <cp:lastModifiedBy>Falcón Morales, Severino</cp:lastModifiedBy>
  <cp:revision>8</cp:revision>
  <dcterms:created xsi:type="dcterms:W3CDTF">2024-12-13T10:00:00Z</dcterms:created>
  <dcterms:modified xsi:type="dcterms:W3CDTF">2024-12-13T15:36:00Z</dcterms:modified>
</cp:coreProperties>
</file>