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3C69" w14:textId="266C89C0"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C2ADE" w:rsidRPr="00F10F9B">
        <w:t xml:space="preserve">RELATIVOS A LAS AYUDAS </w:t>
      </w:r>
      <w:r w:rsidR="003E5C17">
        <w:t>PARA</w:t>
      </w:r>
      <w:r w:rsidR="000163B3">
        <w:t xml:space="preserve"> PERSONAL TÉCNICO DE </w:t>
      </w:r>
      <w:r w:rsidR="009B0A5B">
        <w:t xml:space="preserve">I+D+i 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526463" w:rsidRPr="00FB723D">
        <w:t>20</w:t>
      </w:r>
      <w:r w:rsidR="000163B3" w:rsidRPr="00FB723D">
        <w:t>2</w:t>
      </w:r>
      <w:r w:rsidR="009B0A5B">
        <w:t>4</w:t>
      </w:r>
    </w:p>
    <w:p w14:paraId="4F3667E7" w14:textId="77777777"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>Fondo Social Europeo</w:t>
      </w:r>
      <w:r w:rsidR="000163B3">
        <w:rPr>
          <w:rFonts w:ascii="Arial Narrow" w:hAnsi="Arial Narrow" w:cs="Arial"/>
          <w:sz w:val="22"/>
          <w:szCs w:val="22"/>
        </w:rPr>
        <w:t xml:space="preserve"> Plus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0163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 xml:space="preserve">la situación de las personas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el día antes d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>e la formalización del contrato.</w:t>
      </w:r>
    </w:p>
    <w:p w14:paraId="753CE826" w14:textId="77777777"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3CA2F4D6" w14:textId="516840EA"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>Las siguientes preguntas se responderán individualmente para cada un</w:t>
      </w:r>
      <w:r w:rsidR="000163B3">
        <w:rPr>
          <w:rFonts w:ascii="Arial Narrow" w:hAnsi="Arial Narrow"/>
          <w:sz w:val="22"/>
          <w:szCs w:val="22"/>
        </w:rPr>
        <w:t xml:space="preserve">a </w:t>
      </w:r>
      <w:r w:rsidRPr="001349C9">
        <w:rPr>
          <w:rFonts w:ascii="Arial Narrow" w:hAnsi="Arial Narrow"/>
          <w:sz w:val="22"/>
          <w:szCs w:val="22"/>
        </w:rPr>
        <w:t>de l</w:t>
      </w:r>
      <w:r w:rsidR="000163B3">
        <w:rPr>
          <w:rFonts w:ascii="Arial Narrow" w:hAnsi="Arial Narrow"/>
          <w:sz w:val="22"/>
          <w:szCs w:val="22"/>
        </w:rPr>
        <w:t>as personas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0163B3">
        <w:rPr>
          <w:rFonts w:ascii="Arial Narrow" w:hAnsi="Arial Narrow"/>
          <w:sz w:val="22"/>
          <w:szCs w:val="22"/>
        </w:rPr>
        <w:t xml:space="preserve">ayudas para personal técnico de </w:t>
      </w:r>
      <w:r w:rsidR="009B0A5B">
        <w:rPr>
          <w:rFonts w:ascii="Arial Narrow" w:hAnsi="Arial Narrow"/>
          <w:sz w:val="22"/>
          <w:szCs w:val="22"/>
        </w:rPr>
        <w:t>I+D+i 2024</w:t>
      </w:r>
      <w:r w:rsidRPr="001349C9">
        <w:rPr>
          <w:rFonts w:ascii="Arial Narrow" w:hAnsi="Arial Narrow"/>
          <w:sz w:val="22"/>
          <w:szCs w:val="22"/>
        </w:rPr>
        <w:t>.</w:t>
      </w:r>
    </w:p>
    <w:p w14:paraId="52979979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1CE787BB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</w:t>
      </w:r>
      <w:r w:rsidR="000163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14:paraId="794EE36D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277CC46" w14:textId="77777777"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7A4A91">
        <w:rPr>
          <w:rFonts w:ascii="Arial Narrow" w:hAnsi="Arial Narrow"/>
          <w:sz w:val="22"/>
          <w:szCs w:val="22"/>
          <w:u w:val="single"/>
        </w:rPr>
        <w:t>4</w:t>
      </w:r>
      <w:r w:rsidRPr="0090270E">
        <w:rPr>
          <w:rFonts w:ascii="Arial Narrow" w:hAnsi="Arial Narrow"/>
          <w:sz w:val="22"/>
          <w:szCs w:val="22"/>
          <w:u w:val="single"/>
        </w:rPr>
        <w:t xml:space="preserve">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14:paraId="28E4870D" w14:textId="77777777"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21DCD98" w14:textId="77777777"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14:paraId="2C653230" w14:textId="77777777"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14:paraId="4143197A" w14:textId="77777777"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14:paraId="46354672" w14:textId="77777777" w:rsidR="00526463" w:rsidRDefault="000163B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</w:t>
      </w:r>
      <w:r w:rsidR="00526463">
        <w:rPr>
          <w:rFonts w:ascii="Arial Narrow" w:hAnsi="Arial Narrow" w:cs="Arial"/>
          <w:sz w:val="22"/>
          <w:szCs w:val="22"/>
        </w:rPr>
        <w:t xml:space="preserve">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14:paraId="04DC5730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40982C3" w14:textId="77777777" w:rsidR="007A4A91" w:rsidRPr="00041866" w:rsidRDefault="007A4A91" w:rsidP="007A4A91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Pr="00041866">
        <w:rPr>
          <w:rFonts w:ascii="Arial Narrow" w:hAnsi="Arial Narrow"/>
          <w:sz w:val="22"/>
          <w:szCs w:val="22"/>
        </w:rPr>
        <w:t xml:space="preserve"> ¿Cuál era la situación </w:t>
      </w:r>
      <w:r>
        <w:rPr>
          <w:rFonts w:ascii="Arial Narrow" w:hAnsi="Arial Narrow"/>
          <w:sz w:val="22"/>
          <w:szCs w:val="22"/>
        </w:rPr>
        <w:t>de la persona contratada</w:t>
      </w:r>
      <w:r w:rsidRPr="00041866">
        <w:rPr>
          <w:rFonts w:ascii="Arial Narrow" w:hAnsi="Arial Narrow"/>
          <w:sz w:val="22"/>
          <w:szCs w:val="22"/>
        </w:rPr>
        <w:t xml:space="preserve">? </w:t>
      </w:r>
    </w:p>
    <w:p w14:paraId="4BEA40C4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 xml:space="preserve">/a (no marcar en caso de estar en la situación de desempleado/a </w:t>
      </w:r>
      <w:r w:rsidRPr="00596974">
        <w:rPr>
          <w:rFonts w:ascii="Arial Narrow" w:hAnsi="Arial Narrow"/>
          <w:sz w:val="22"/>
          <w:szCs w:val="22"/>
        </w:rPr>
        <w:t>de larga duración</w:t>
      </w:r>
      <w:r>
        <w:rPr>
          <w:rFonts w:ascii="Arial Narrow" w:hAnsi="Arial Narrow"/>
          <w:sz w:val="22"/>
          <w:szCs w:val="22"/>
        </w:rPr>
        <w:t>)</w:t>
      </w:r>
    </w:p>
    <w:p w14:paraId="74C3757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 xml:space="preserve"> de larga duración</w:t>
      </w:r>
    </w:p>
    <w:p w14:paraId="097D72E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Inactivo</w:t>
      </w:r>
      <w:r>
        <w:rPr>
          <w:rFonts w:ascii="Arial Narrow" w:hAnsi="Arial Narrow"/>
          <w:sz w:val="22"/>
          <w:szCs w:val="22"/>
        </w:rPr>
        <w:t>/a</w:t>
      </w:r>
    </w:p>
    <w:p w14:paraId="2CACDAE9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>, incluso por cuenta propia</w:t>
      </w:r>
    </w:p>
    <w:p w14:paraId="7E56E6D2" w14:textId="77777777" w:rsidR="007A4A91" w:rsidRDefault="007A4A91" w:rsidP="007A4A91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66E1FFBF" w14:textId="77777777" w:rsidR="007A4A91" w:rsidRPr="00326514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14:paraId="071D2D2A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055A5185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74F603B3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1CF8E690" w14:textId="77777777" w:rsidR="007A4A91" w:rsidRPr="00681A64" w:rsidRDefault="007A4A91" w:rsidP="007A4A91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13B1D198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s</w:t>
      </w:r>
      <w:r w:rsidRPr="00326514">
        <w:rPr>
          <w:rFonts w:ascii="Arial Narrow" w:hAnsi="Arial Narrow"/>
          <w:sz w:val="22"/>
          <w:szCs w:val="22"/>
        </w:rPr>
        <w:t>e encontraba dentro de la situación de “Persona sin hogar o afectada por la exclusión en cuanto a vivienda”?</w:t>
      </w:r>
    </w:p>
    <w:p w14:paraId="27C27F4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6B9A6099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1C78AD31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5C9901F2" w14:textId="77777777" w:rsidR="007A4A91" w:rsidRPr="00681A64" w:rsidRDefault="007A4A91" w:rsidP="007A4A91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4EC9640" w14:textId="77777777"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v</w:t>
      </w:r>
      <w:r w:rsidRPr="00326514">
        <w:rPr>
          <w:rFonts w:ascii="Arial Narrow" w:hAnsi="Arial Narrow"/>
          <w:sz w:val="22"/>
          <w:szCs w:val="22"/>
        </w:rPr>
        <w:t>ivía en una zona rural?</w:t>
      </w:r>
    </w:p>
    <w:p w14:paraId="334D0053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2C12395C" w14:textId="77777777"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522F43A8" w14:textId="77777777" w:rsidR="00923052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  <w:t>No contesta</w:t>
      </w:r>
      <w:r w:rsidR="00923052">
        <w:rPr>
          <w:rFonts w:ascii="Arial Narrow" w:hAnsi="Arial Narrow"/>
          <w:sz w:val="22"/>
          <w:szCs w:val="22"/>
        </w:rPr>
        <w:br w:type="page"/>
      </w:r>
    </w:p>
    <w:p w14:paraId="7A435793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14:paraId="0483908D" w14:textId="77777777" w:rsidR="00E41CD7" w:rsidRPr="007D5B3C" w:rsidRDefault="00E41CD7" w:rsidP="00E41CD7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14:paraId="464D254C" w14:textId="77777777" w:rsidR="00E41CD7" w:rsidRDefault="00E41CD7" w:rsidP="00E41CD7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E41CD7" w:rsidRPr="00020C82" w14:paraId="38464CB8" w14:textId="77777777" w:rsidTr="00C05D37">
        <w:trPr>
          <w:tblHeader/>
        </w:trPr>
        <w:tc>
          <w:tcPr>
            <w:tcW w:w="4202" w:type="dxa"/>
          </w:tcPr>
          <w:p w14:paraId="189CB7AB" w14:textId="77777777" w:rsidR="00E41CD7" w:rsidRPr="007D5B3C" w:rsidRDefault="00E41CD7" w:rsidP="00C05D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14:paraId="4F3ED38B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E41CD7" w14:paraId="4A34E32A" w14:textId="77777777" w:rsidTr="00C05D37">
        <w:tc>
          <w:tcPr>
            <w:tcW w:w="4202" w:type="dxa"/>
          </w:tcPr>
          <w:p w14:paraId="7BFA04C8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14:paraId="419679F9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44D20F1D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Labour market policy Statistics - Methodology 2018, apartado 18.  </w:t>
            </w:r>
          </w:p>
          <w:p w14:paraId="499A9437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53A10AFE" w14:textId="77777777" w:rsidTr="00C05D37">
        <w:tc>
          <w:tcPr>
            <w:tcW w:w="4202" w:type="dxa"/>
          </w:tcPr>
          <w:p w14:paraId="69FB8C49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14:paraId="7241B80A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14:paraId="5E3E4A92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Labour market policy Statistics - Methodology 2018, apartado 312. </w:t>
            </w:r>
          </w:p>
          <w:p w14:paraId="16BFB575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137B5D08" w14:textId="77777777" w:rsidTr="00C05D37">
        <w:tc>
          <w:tcPr>
            <w:tcW w:w="4202" w:type="dxa"/>
          </w:tcPr>
          <w:p w14:paraId="642F82AB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14:paraId="0DB4D681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6D95DA6B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Fuente: Dirección General de Empleo, Asuntos Sociales e Inclusión, Labour market policy Statistics - Methodology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14:paraId="28E9269F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14:paraId="5B45FD7E" w14:textId="77777777" w:rsidTr="00C05D37">
        <w:tc>
          <w:tcPr>
            <w:tcW w:w="4202" w:type="dxa"/>
          </w:tcPr>
          <w:p w14:paraId="7EACC961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14:paraId="45B68766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14:paraId="067522F5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14:paraId="56CACEBE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1) Una persona trabaja en su empresa, explotación agrícola, consulta o gabinete con fines lucrativos. </w:t>
            </w:r>
          </w:p>
          <w:p w14:paraId="3D6A42A3" w14:textId="77777777"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2) Una persona dedica tiempo a la gestión de una empresa, una explotación agrícola, una consulta o un gabinete. </w:t>
            </w:r>
          </w:p>
          <w:p w14:paraId="308B4B78" w14:textId="77777777" w:rsidR="00E41CD7" w:rsidRPr="00C2612D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</w:t>
            </w:r>
            <w:r w:rsidRPr="00C2612D">
              <w:rPr>
                <w:rFonts w:ascii="Arial Narrow" w:hAnsi="Arial Narrow"/>
                <w:sz w:val="22"/>
                <w:szCs w:val="22"/>
                <w:lang w:val="en-US"/>
              </w:rPr>
              <w:t xml:space="preserve">[…]. </w:t>
            </w:r>
          </w:p>
          <w:p w14:paraId="6ADB15C7" w14:textId="77777777" w:rsidR="00E41CD7" w:rsidRPr="00C2612D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2612D">
              <w:rPr>
                <w:rFonts w:ascii="Arial Narrow" w:hAnsi="Arial Narrow"/>
                <w:sz w:val="22"/>
                <w:szCs w:val="22"/>
                <w:lang w:val="en-US"/>
              </w:rPr>
              <w:t>Fuente: Eurostat, the European Union labour force survey (EU-LFS) - Methods and definitions – 2021. (https://ec.europa.eu/eurostat/statistics-</w:t>
            </w:r>
          </w:p>
          <w:p w14:paraId="71DF75AA" w14:textId="77777777" w:rsidR="00E41CD7" w:rsidRPr="00C2612D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2612D">
              <w:rPr>
                <w:rFonts w:ascii="Arial Narrow" w:hAnsi="Arial Narrow"/>
                <w:sz w:val="22"/>
                <w:szCs w:val="22"/>
                <w:lang w:val="en-US"/>
              </w:rPr>
              <w:t>explained/index.php?title=EU_Labour_Force_Survey_-</w:t>
            </w:r>
          </w:p>
          <w:p w14:paraId="24B1FD0F" w14:textId="77777777"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</w:t>
            </w:r>
            <w:r w:rsidRPr="0041081C">
              <w:rPr>
                <w:rFonts w:ascii="Arial Narrow" w:hAnsi="Arial Narrow"/>
                <w:sz w:val="22"/>
                <w:szCs w:val="22"/>
              </w:rPr>
              <w:t>from_2021_onwards)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E41CD7" w14:paraId="583F0A11" w14:textId="77777777" w:rsidTr="00C05D37">
        <w:tc>
          <w:tcPr>
            <w:tcW w:w="4202" w:type="dxa"/>
          </w:tcPr>
          <w:p w14:paraId="271AAAD5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14:paraId="451881F9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E41CD7" w14:paraId="5AC75796" w14:textId="77777777" w:rsidTr="00C05D37">
        <w:tc>
          <w:tcPr>
            <w:tcW w:w="4202" w:type="dxa"/>
          </w:tcPr>
          <w:p w14:paraId="05721B80" w14:textId="77777777"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14:paraId="0595B181" w14:textId="77777777"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E41CD7" w14:paraId="5EAFB1BD" w14:textId="77777777" w:rsidTr="00C05D37">
        <w:tc>
          <w:tcPr>
            <w:tcW w:w="4202" w:type="dxa"/>
          </w:tcPr>
          <w:p w14:paraId="2C77F866" w14:textId="77777777" w:rsidR="00E41CD7" w:rsidRPr="00020C82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14:paraId="118131E8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14:paraId="24644462" w14:textId="77777777"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Fuente: sitio web de Eurostat, apartado sobre metodología de la sección «Degree of urbanisation». </w:t>
            </w:r>
          </w:p>
          <w:p w14:paraId="35A038CC" w14:textId="77777777"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15429261" w14:textId="77777777" w:rsidR="00E41CD7" w:rsidRPr="00326514" w:rsidRDefault="00E41CD7" w:rsidP="00E41CD7">
      <w:pPr>
        <w:rPr>
          <w:rFonts w:ascii="Arial Narrow" w:hAnsi="Arial Narrow"/>
          <w:sz w:val="22"/>
          <w:szCs w:val="22"/>
        </w:rPr>
      </w:pPr>
    </w:p>
    <w:p w14:paraId="35F64A3D" w14:textId="77777777" w:rsidR="008030E9" w:rsidRDefault="008030E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14:paraId="448AC613" w14:textId="77777777" w:rsidR="008030E9" w:rsidRPr="00326514" w:rsidRDefault="008030E9" w:rsidP="00003DEA">
      <w:pPr>
        <w:rPr>
          <w:rFonts w:ascii="Arial Narrow" w:hAnsi="Arial Narrow"/>
          <w:sz w:val="22"/>
          <w:szCs w:val="22"/>
        </w:rPr>
      </w:pPr>
    </w:p>
    <w:sectPr w:rsidR="008030E9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32CE" w14:textId="77777777" w:rsidR="00844FDC" w:rsidRDefault="00844FDC">
      <w:r>
        <w:separator/>
      </w:r>
    </w:p>
  </w:endnote>
  <w:endnote w:type="continuationSeparator" w:id="0">
    <w:p w14:paraId="2A8C4A7D" w14:textId="77777777"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66E1" w14:textId="77777777" w:rsidR="0003366F" w:rsidRDefault="0003366F" w:rsidP="0003366F">
    <w:pPr>
      <w:pStyle w:val="Piedepgina"/>
      <w:jc w:val="right"/>
      <w:rPr>
        <w:lang w:val="es-ES"/>
      </w:rPr>
    </w:pPr>
  </w:p>
  <w:p w14:paraId="353CB0F6" w14:textId="77777777" w:rsidR="0003366F" w:rsidRPr="006D00E1" w:rsidRDefault="00613429">
    <w:pPr>
      <w:pStyle w:val="Piedepgina"/>
      <w:jc w:val="center"/>
      <w:rPr>
        <w:noProof/>
        <w:sz w:val="18"/>
        <w:szCs w:val="18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</w:t>
    </w:r>
    <w:r w:rsidR="00897A8B"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7A4A91">
          <w:rPr>
            <w:noProof/>
            <w:sz w:val="18"/>
            <w:szCs w:val="18"/>
            <w:lang w:val="es-ES"/>
          </w:rPr>
          <w:t>1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 w:rsidR="00897A8B">
      <w:rPr>
        <w:noProof/>
        <w:sz w:val="18"/>
        <w:szCs w:val="18"/>
        <w:lang w:val="es-ES"/>
      </w:rPr>
      <w:t xml:space="preserve"> de </w:t>
    </w:r>
    <w:r w:rsidR="00897A8B">
      <w:rPr>
        <w:noProof/>
        <w:sz w:val="18"/>
        <w:szCs w:val="18"/>
        <w:lang w:val="es-ES"/>
      </w:rPr>
      <w:fldChar w:fldCharType="begin"/>
    </w:r>
    <w:r w:rsidR="00897A8B">
      <w:rPr>
        <w:noProof/>
        <w:sz w:val="18"/>
        <w:szCs w:val="18"/>
        <w:lang w:val="es-ES"/>
      </w:rPr>
      <w:instrText xml:space="preserve"> NUMPAGES  \* Arabic  \* MERGEFORMAT </w:instrText>
    </w:r>
    <w:r w:rsidR="00897A8B">
      <w:rPr>
        <w:noProof/>
        <w:sz w:val="18"/>
        <w:szCs w:val="18"/>
        <w:lang w:val="es-ES"/>
      </w:rPr>
      <w:fldChar w:fldCharType="separate"/>
    </w:r>
    <w:r w:rsidR="007A4A91">
      <w:rPr>
        <w:noProof/>
        <w:sz w:val="18"/>
        <w:szCs w:val="18"/>
        <w:lang w:val="es-ES"/>
      </w:rPr>
      <w:t>3</w:t>
    </w:r>
    <w:r w:rsidR="00897A8B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4EB4" w14:textId="77777777" w:rsidR="00844FDC" w:rsidRDefault="00844FDC">
      <w:r>
        <w:separator/>
      </w:r>
    </w:p>
  </w:footnote>
  <w:footnote w:type="continuationSeparator" w:id="0">
    <w:p w14:paraId="00721908" w14:textId="77777777"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14:paraId="2BA5F74B" w14:textId="77777777" w:rsidTr="0090270E">
      <w:trPr>
        <w:cantSplit/>
        <w:trHeight w:val="1139"/>
      </w:trPr>
      <w:tc>
        <w:tcPr>
          <w:tcW w:w="5191" w:type="dxa"/>
          <w:hideMark/>
        </w:tcPr>
        <w:p w14:paraId="53F1C0E4" w14:textId="305B98E1" w:rsidR="006C5F0E" w:rsidRPr="000B6ACE" w:rsidRDefault="00CD345F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504C7C7" wp14:editId="2F8B18F5">
                <wp:extent cx="2268041" cy="904875"/>
                <wp:effectExtent l="0" t="0" r="0" b="0"/>
                <wp:docPr id="2107393535" name="Imagen 2107393535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393535" name="Imagen 1" descr="Texto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723" cy="91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7C81C69D" w14:textId="77777777" w:rsidR="006C5F0E" w:rsidRDefault="003E5C17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rFonts w:cstheme="minorHAnsi"/>
              <w:noProof/>
              <w:lang w:val="es-ES" w:eastAsia="es-ES"/>
            </w:rPr>
            <w:drawing>
              <wp:inline distT="0" distB="0" distL="0" distR="0" wp14:anchorId="41376D35" wp14:editId="06492E06">
                <wp:extent cx="871200" cy="1051200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78" r="49444"/>
                        <a:stretch/>
                      </pic:blipFill>
                      <pic:spPr bwMode="auto">
                        <a:xfrm>
                          <a:off x="0" y="0"/>
                          <a:ext cx="871200" cy="10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19AD626F" w14:textId="14057A04" w:rsidR="006C5F0E" w:rsidRDefault="00592379">
          <w:pPr>
            <w:jc w:val="center"/>
          </w:pPr>
          <w:r>
            <w:rPr>
              <w:noProof/>
            </w:rPr>
            <w:drawing>
              <wp:inline distT="0" distB="0" distL="0" distR="0" wp14:anchorId="3126B3D6" wp14:editId="1C817478">
                <wp:extent cx="1006475" cy="708025"/>
                <wp:effectExtent l="0" t="0" r="3175" b="0"/>
                <wp:docPr id="1851708023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1708023" name="Imagen 1" descr="Logotipo, nombre de la empresa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0CD037" w14:textId="77777777"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46711">
    <w:abstractNumId w:val="13"/>
  </w:num>
  <w:num w:numId="2" w16cid:durableId="1586720765">
    <w:abstractNumId w:val="10"/>
  </w:num>
  <w:num w:numId="3" w16cid:durableId="1423604409">
    <w:abstractNumId w:val="15"/>
  </w:num>
  <w:num w:numId="4" w16cid:durableId="2016179615">
    <w:abstractNumId w:val="4"/>
  </w:num>
  <w:num w:numId="5" w16cid:durableId="2061829436">
    <w:abstractNumId w:val="12"/>
  </w:num>
  <w:num w:numId="6" w16cid:durableId="441808484">
    <w:abstractNumId w:val="14"/>
  </w:num>
  <w:num w:numId="7" w16cid:durableId="2001424638">
    <w:abstractNumId w:val="9"/>
  </w:num>
  <w:num w:numId="8" w16cid:durableId="586889298">
    <w:abstractNumId w:val="18"/>
  </w:num>
  <w:num w:numId="9" w16cid:durableId="1633974037">
    <w:abstractNumId w:val="0"/>
  </w:num>
  <w:num w:numId="10" w16cid:durableId="668410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640186">
    <w:abstractNumId w:val="11"/>
  </w:num>
  <w:num w:numId="12" w16cid:durableId="1772624171">
    <w:abstractNumId w:val="5"/>
  </w:num>
  <w:num w:numId="13" w16cid:durableId="1955210546">
    <w:abstractNumId w:val="22"/>
  </w:num>
  <w:num w:numId="14" w16cid:durableId="744497442">
    <w:abstractNumId w:val="21"/>
  </w:num>
  <w:num w:numId="15" w16cid:durableId="79640228">
    <w:abstractNumId w:val="25"/>
  </w:num>
  <w:num w:numId="16" w16cid:durableId="1974212022">
    <w:abstractNumId w:val="16"/>
  </w:num>
  <w:num w:numId="17" w16cid:durableId="1182167305">
    <w:abstractNumId w:val="23"/>
  </w:num>
  <w:num w:numId="18" w16cid:durableId="488523521">
    <w:abstractNumId w:val="7"/>
  </w:num>
  <w:num w:numId="19" w16cid:durableId="1476414859">
    <w:abstractNumId w:val="3"/>
  </w:num>
  <w:num w:numId="20" w16cid:durableId="1624993977">
    <w:abstractNumId w:val="26"/>
  </w:num>
  <w:num w:numId="21" w16cid:durableId="1383603542">
    <w:abstractNumId w:val="20"/>
  </w:num>
  <w:num w:numId="22" w16cid:durableId="782311555">
    <w:abstractNumId w:val="24"/>
  </w:num>
  <w:num w:numId="23" w16cid:durableId="985233506">
    <w:abstractNumId w:val="2"/>
  </w:num>
  <w:num w:numId="24" w16cid:durableId="1036009554">
    <w:abstractNumId w:val="28"/>
  </w:num>
  <w:num w:numId="25" w16cid:durableId="67188462">
    <w:abstractNumId w:val="6"/>
  </w:num>
  <w:num w:numId="26" w16cid:durableId="778179515">
    <w:abstractNumId w:val="8"/>
  </w:num>
  <w:num w:numId="27" w16cid:durableId="1245260850">
    <w:abstractNumId w:val="19"/>
  </w:num>
  <w:num w:numId="28" w16cid:durableId="85001070">
    <w:abstractNumId w:val="27"/>
  </w:num>
  <w:num w:numId="29" w16cid:durableId="2101750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163B3"/>
    <w:rsid w:val="000219C3"/>
    <w:rsid w:val="00027AF9"/>
    <w:rsid w:val="0003366F"/>
    <w:rsid w:val="00035499"/>
    <w:rsid w:val="0003585C"/>
    <w:rsid w:val="00037B90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084F"/>
    <w:rsid w:val="001C3839"/>
    <w:rsid w:val="001C5F85"/>
    <w:rsid w:val="001D0BFD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4E54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5C17"/>
    <w:rsid w:val="003E7484"/>
    <w:rsid w:val="003F16BF"/>
    <w:rsid w:val="003F33F7"/>
    <w:rsid w:val="003F3F7B"/>
    <w:rsid w:val="003F414E"/>
    <w:rsid w:val="003F4778"/>
    <w:rsid w:val="004002AA"/>
    <w:rsid w:val="00404014"/>
    <w:rsid w:val="0041081C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157"/>
    <w:rsid w:val="00563B90"/>
    <w:rsid w:val="00567CD7"/>
    <w:rsid w:val="00575EF0"/>
    <w:rsid w:val="00582117"/>
    <w:rsid w:val="00585DEE"/>
    <w:rsid w:val="0058636F"/>
    <w:rsid w:val="00592379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A7A4C"/>
    <w:rsid w:val="006C28C2"/>
    <w:rsid w:val="006C303D"/>
    <w:rsid w:val="006C32F9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1350E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49FD"/>
    <w:rsid w:val="00787F5C"/>
    <w:rsid w:val="007A1495"/>
    <w:rsid w:val="007A4343"/>
    <w:rsid w:val="007A4A91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46039"/>
    <w:rsid w:val="0084610D"/>
    <w:rsid w:val="00855656"/>
    <w:rsid w:val="008635BA"/>
    <w:rsid w:val="00890C5B"/>
    <w:rsid w:val="00891427"/>
    <w:rsid w:val="00891EFB"/>
    <w:rsid w:val="00897A8B"/>
    <w:rsid w:val="008A44C0"/>
    <w:rsid w:val="008A59E7"/>
    <w:rsid w:val="008A5CA6"/>
    <w:rsid w:val="008B148C"/>
    <w:rsid w:val="008B6955"/>
    <w:rsid w:val="008B6983"/>
    <w:rsid w:val="008C1FE4"/>
    <w:rsid w:val="008C45A5"/>
    <w:rsid w:val="008D0B31"/>
    <w:rsid w:val="008D5E33"/>
    <w:rsid w:val="008D74A1"/>
    <w:rsid w:val="008E05D0"/>
    <w:rsid w:val="008F21A3"/>
    <w:rsid w:val="00902703"/>
    <w:rsid w:val="0090270E"/>
    <w:rsid w:val="009039E8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B84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0A5B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462B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5450"/>
    <w:rsid w:val="00AD6AAA"/>
    <w:rsid w:val="00AE1C6C"/>
    <w:rsid w:val="00AE4537"/>
    <w:rsid w:val="00AE47DD"/>
    <w:rsid w:val="00AF2043"/>
    <w:rsid w:val="00AF7C82"/>
    <w:rsid w:val="00B00F1F"/>
    <w:rsid w:val="00B0386E"/>
    <w:rsid w:val="00B05086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2612D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0763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345F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1CD7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9096A"/>
    <w:rsid w:val="00FA6D98"/>
    <w:rsid w:val="00FA7310"/>
    <w:rsid w:val="00FB723D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B7290E4"/>
  <w15:docId w15:val="{6ADA2781-629F-486D-8286-91C9F1A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08"/>
    <w:rsid w:val="005A7408"/>
    <w:rsid w:val="006A7A4C"/>
    <w:rsid w:val="0071350E"/>
    <w:rsid w:val="0084610D"/>
    <w:rsid w:val="009D0863"/>
    <w:rsid w:val="00A27460"/>
    <w:rsid w:val="00AD5450"/>
    <w:rsid w:val="00B05086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CD15-9428-475D-A0AB-5F8E72D8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19</TotalTime>
  <Pages>3</Pages>
  <Words>1019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M.E.C.D.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Indicadores_Productividad del FSE+_PTA2023</dc:title>
  <dc:creator>micinn</dc:creator>
  <cp:lastModifiedBy>Montes Casado, María</cp:lastModifiedBy>
  <cp:revision>6</cp:revision>
  <cp:lastPrinted>2024-10-17T09:43:00Z</cp:lastPrinted>
  <dcterms:created xsi:type="dcterms:W3CDTF">2024-09-27T10:44:00Z</dcterms:created>
  <dcterms:modified xsi:type="dcterms:W3CDTF">2025-09-02T11:34:00Z</dcterms:modified>
</cp:coreProperties>
</file>