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19AE" w14:textId="77777777" w:rsidR="006C30BC" w:rsidRDefault="006C30BC" w:rsidP="00765266">
      <w:pPr>
        <w:pStyle w:val="ESBHead"/>
        <w:jc w:val="left"/>
        <w:rPr>
          <w:rFonts w:cs="Arial"/>
          <w:b/>
          <w:bCs/>
          <w:sz w:val="18"/>
          <w:szCs w:val="18"/>
          <w:lang w:val="es-ES_tradnl"/>
        </w:rPr>
      </w:pPr>
    </w:p>
    <w:p w14:paraId="427C0922" w14:textId="77777777" w:rsidR="00CD4278" w:rsidRPr="00061B5B" w:rsidRDefault="00CD4278" w:rsidP="00CD4278">
      <w:pPr>
        <w:pStyle w:val="ESBHead"/>
        <w:outlineLvl w:val="0"/>
        <w:rPr>
          <w:b/>
          <w:bCs/>
          <w:sz w:val="24"/>
          <w:szCs w:val="24"/>
          <w:lang w:val="es-ES_tradnl"/>
        </w:rPr>
      </w:pPr>
      <w:r w:rsidRPr="00061B5B">
        <w:rPr>
          <w:b/>
          <w:bCs/>
          <w:sz w:val="24"/>
          <w:szCs w:val="24"/>
          <w:lang w:val="es-ES_tradnl"/>
        </w:rPr>
        <w:t>SOLIC</w:t>
      </w:r>
      <w:r>
        <w:rPr>
          <w:b/>
          <w:bCs/>
          <w:sz w:val="24"/>
          <w:szCs w:val="24"/>
          <w:lang w:val="es-ES_tradnl"/>
        </w:rPr>
        <w:t>I</w:t>
      </w:r>
      <w:r w:rsidRPr="00061B5B">
        <w:rPr>
          <w:b/>
          <w:bCs/>
          <w:sz w:val="24"/>
          <w:szCs w:val="24"/>
          <w:lang w:val="es-ES_tradnl"/>
        </w:rPr>
        <w:t xml:space="preserve">TUD DE </w:t>
      </w:r>
      <w:r>
        <w:rPr>
          <w:b/>
          <w:bCs/>
          <w:sz w:val="24"/>
          <w:szCs w:val="24"/>
          <w:lang w:val="es-ES_tradnl"/>
        </w:rPr>
        <w:t>INCREMENTO</w:t>
      </w:r>
      <w:r w:rsidRPr="002A5E36">
        <w:rPr>
          <w:b/>
          <w:bCs/>
          <w:sz w:val="24"/>
          <w:szCs w:val="24"/>
          <w:lang w:val="es-ES_tradnl"/>
        </w:rPr>
        <w:t xml:space="preserve"> </w:t>
      </w:r>
      <w:r>
        <w:rPr>
          <w:b/>
          <w:bCs/>
          <w:sz w:val="24"/>
          <w:szCs w:val="24"/>
          <w:lang w:val="es-ES_tradnl"/>
        </w:rPr>
        <w:t>DEL PORCENTAJE DE SUBCONTRATACIÓN</w:t>
      </w:r>
    </w:p>
    <w:p w14:paraId="2B7733BF" w14:textId="77777777" w:rsidR="00CD4278" w:rsidRPr="00E957FA" w:rsidRDefault="00CD4278" w:rsidP="00CD4278">
      <w:pPr>
        <w:rPr>
          <w:lang w:val="es-ES_tradnl"/>
        </w:rPr>
      </w:pPr>
    </w:p>
    <w:p w14:paraId="1708EA6D" w14:textId="77777777" w:rsidR="00CD4278" w:rsidRPr="00085FF3" w:rsidRDefault="00CD4278" w:rsidP="00CD427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C160860" w14:textId="77777777" w:rsidR="00CD4278" w:rsidRDefault="00CD4278" w:rsidP="00CD4278">
      <w:pPr>
        <w:pStyle w:val="ESBHead"/>
        <w:jc w:val="left"/>
        <w:rPr>
          <w:rFonts w:ascii="Arial Narrow" w:hAnsi="Arial Narrow" w:cs="Arial"/>
          <w:i/>
          <w:sz w:val="18"/>
          <w:szCs w:val="18"/>
        </w:rPr>
      </w:pPr>
    </w:p>
    <w:p w14:paraId="044C2E3C" w14:textId="77777777" w:rsidR="00CD4278" w:rsidRDefault="00CD4278" w:rsidP="00CD4278">
      <w:pPr>
        <w:pStyle w:val="ESBHead"/>
        <w:jc w:val="both"/>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2D0476">
        <w:rPr>
          <w:rFonts w:ascii="Arial Narrow" w:hAnsi="Arial Narrow"/>
          <w:i/>
          <w:sz w:val="18"/>
          <w:szCs w:val="18"/>
        </w:rPr>
        <w:t>Orden CIN/552/2022 de 14 de junio de 2022, por la que se aprueban las bases reguladoras de  la  concesión  de  ayudas  públicas  a  proyectos  «Europa  Excelencia»,  del  Plan  Estatal  de  Investigación  Científica,  Técnica  y  de  Innovación para el período 2021-2023, en el marco del Plan de Recuperación, Transformación y Resiliencia (en adelante, Orden de bases), y en la Resolución de 21 de junio de 2022, de la Presidencia de la Agencia Estatal de Investigación, por la que se aprueba la convocatoria del año 2022 del procedimiento de concesión de ayudas a proyectos «Europa Excelencia», del Plan Estatal de Investigación Científica, Técnica y de Innovación para el período 2021-2023, en el marco del Plan de Recuperación, Transformación y Resiliencia (en adelante, convocatoria).</w:t>
      </w:r>
    </w:p>
    <w:p w14:paraId="799661BA" w14:textId="77777777" w:rsidR="00CD4278" w:rsidRDefault="00CD4278" w:rsidP="00CD4278">
      <w:pPr>
        <w:pStyle w:val="ESBHead"/>
        <w:jc w:val="both"/>
        <w:rPr>
          <w:rFonts w:ascii="Arial Narrow" w:hAnsi="Arial Narrow" w:cs="Arial"/>
          <w:i/>
          <w:sz w:val="18"/>
          <w:szCs w:val="18"/>
        </w:rPr>
      </w:pPr>
    </w:p>
    <w:p w14:paraId="193003AD"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Podrán ser objeto de subcontratación aquellas actividades del proyecto que forman parte de la actuación subvencionada pero que no pueden ser realizadas por la entidad beneficiaria  por sí misma, extremo que habrá de acreditarse en la memoria técnica del proyecto o en los  informes científico-técnicos. Con carácter general, podrán subcontratarse las actividades objeto de ayuda de hasta un 25 % de la cuantía total de la ayuda concedida, que podrá incrementarse </w:t>
      </w:r>
      <w:r w:rsidRPr="00385B2A">
        <w:rPr>
          <w:rFonts w:ascii="Arial Narrow" w:hAnsi="Arial Narrow" w:cs="Arial"/>
          <w:i/>
          <w:sz w:val="18"/>
          <w:szCs w:val="18"/>
          <w:u w:val="single"/>
        </w:rPr>
        <w:t>hasta el límite del 50%</w:t>
      </w:r>
      <w:r w:rsidRPr="000540D6">
        <w:rPr>
          <w:rFonts w:ascii="Arial Narrow" w:hAnsi="Arial Narrow" w:cs="Arial"/>
          <w:i/>
          <w:sz w:val="18"/>
          <w:szCs w:val="18"/>
        </w:rPr>
        <w:t xml:space="preserve"> en casos debidamente justificados y previa solicitud motivada</w:t>
      </w:r>
      <w:r>
        <w:rPr>
          <w:rFonts w:ascii="Arial Narrow" w:hAnsi="Arial Narrow" w:cs="Arial"/>
          <w:i/>
          <w:sz w:val="18"/>
          <w:szCs w:val="18"/>
        </w:rPr>
        <w:t xml:space="preserve">, dentro de los límites </w:t>
      </w:r>
      <w:r w:rsidRPr="009E04D7">
        <w:rPr>
          <w:rFonts w:ascii="Arial Narrow" w:hAnsi="Arial Narrow" w:cs="Arial"/>
          <w:i/>
          <w:sz w:val="18"/>
          <w:szCs w:val="18"/>
        </w:rPr>
        <w:t>regulados en el artículo 9 de las bases reguladoras y en el artículo 8.9 de l</w:t>
      </w:r>
      <w:r>
        <w:rPr>
          <w:rFonts w:ascii="Arial Narrow" w:hAnsi="Arial Narrow" w:cs="Arial"/>
          <w:i/>
          <w:sz w:val="18"/>
          <w:szCs w:val="18"/>
        </w:rPr>
        <w:t>a convocatoria.</w:t>
      </w:r>
    </w:p>
    <w:p w14:paraId="6209B4ED" w14:textId="77777777" w:rsidR="00CD4278" w:rsidRDefault="00CD4278" w:rsidP="00CD4278">
      <w:pPr>
        <w:pStyle w:val="ESBHead"/>
        <w:jc w:val="both"/>
        <w:rPr>
          <w:rFonts w:ascii="Arial Narrow" w:hAnsi="Arial Narrow" w:cs="Arial"/>
          <w:i/>
          <w:sz w:val="18"/>
          <w:szCs w:val="18"/>
        </w:rPr>
      </w:pPr>
    </w:p>
    <w:p w14:paraId="296EC0F7" w14:textId="77777777" w:rsidR="00CD4278" w:rsidRPr="006F575A" w:rsidRDefault="00CD4278" w:rsidP="00CD4278">
      <w:pPr>
        <w:pStyle w:val="ESBHead"/>
        <w:jc w:val="both"/>
        <w:rPr>
          <w:rFonts w:ascii="Arial Narrow" w:hAnsi="Arial Narrow" w:cs="Arial"/>
          <w:i/>
          <w:sz w:val="18"/>
          <w:szCs w:val="18"/>
        </w:rPr>
      </w:pPr>
      <w:r w:rsidRPr="006F575A">
        <w:rPr>
          <w:rFonts w:ascii="Arial Narrow" w:hAnsi="Arial Narrow" w:cs="Arial"/>
          <w:i/>
          <w:sz w:val="18"/>
          <w:szCs w:val="18"/>
          <w:u w:val="single"/>
        </w:rPr>
        <w:t>En ningún caso podrá fraccionarse el gasto</w:t>
      </w:r>
      <w:r w:rsidRPr="006F575A">
        <w:rPr>
          <w:rFonts w:ascii="Arial Narrow" w:hAnsi="Arial Narrow" w:cs="Arial"/>
          <w:i/>
          <w:sz w:val="18"/>
          <w:szCs w:val="18"/>
        </w:rPr>
        <w:t xml:space="preserve"> correspondiente a un mismo objeto y a un mismo proveedor.</w:t>
      </w:r>
    </w:p>
    <w:p w14:paraId="18ED878B" w14:textId="77777777" w:rsidR="00CD4278" w:rsidRDefault="00CD4278" w:rsidP="00CD4278">
      <w:pPr>
        <w:pStyle w:val="ESBHead"/>
        <w:jc w:val="both"/>
        <w:rPr>
          <w:rFonts w:ascii="Arial Narrow" w:hAnsi="Arial Narrow" w:cs="Arial"/>
          <w:i/>
          <w:sz w:val="18"/>
          <w:szCs w:val="18"/>
        </w:rPr>
      </w:pPr>
    </w:p>
    <w:p w14:paraId="6B75A1BB" w14:textId="77777777"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En caso de subcontratación, la entidad beneficiaria de la ayuda habrá de prever mecanismos para asegurar </w:t>
      </w:r>
      <w:r w:rsidRPr="000540D6">
        <w:rPr>
          <w:rFonts w:ascii="Arial Narrow" w:hAnsi="Arial Narrow" w:cs="Arial"/>
          <w:i/>
          <w:sz w:val="18"/>
          <w:szCs w:val="18"/>
          <w:u w:val="single"/>
        </w:rPr>
        <w:t>que los subcontratistas cumplan con el «principio DNSH»</w:t>
      </w:r>
      <w:r w:rsidRPr="000540D6">
        <w:rPr>
          <w:rFonts w:ascii="Arial Narrow" w:hAnsi="Arial Narrow" w:cs="Arial"/>
          <w:i/>
          <w:sz w:val="18"/>
          <w:szCs w:val="18"/>
        </w:rPr>
        <w:t>.</w:t>
      </w:r>
    </w:p>
    <w:p w14:paraId="1ACA72A7" w14:textId="77777777" w:rsidR="00CD4278" w:rsidRDefault="00CD4278" w:rsidP="00CD4278">
      <w:pPr>
        <w:pStyle w:val="ESBHead"/>
        <w:jc w:val="left"/>
        <w:rPr>
          <w:rFonts w:ascii="Arial Narrow" w:hAnsi="Arial Narrow" w:cs="Arial"/>
          <w:i/>
          <w:sz w:val="18"/>
          <w:szCs w:val="18"/>
        </w:rPr>
      </w:pPr>
    </w:p>
    <w:p w14:paraId="639D43E9" w14:textId="77777777" w:rsidR="00CD4278" w:rsidRPr="00085FF3" w:rsidRDefault="00CD4278" w:rsidP="00CD4278">
      <w:pPr>
        <w:pStyle w:val="ESBHead"/>
        <w:jc w:val="left"/>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77777777"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51D26">
              <w:rPr>
                <w:rStyle w:val="ESBBold"/>
                <w:rFonts w:cs="Arial"/>
                <w:b w:val="0"/>
              </w:rPr>
              <w:t>2</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6099B309" w14:textId="06A081EB" w:rsidR="00BE1E8F" w:rsidRDefault="00BE1E8F" w:rsidP="00DF42EE">
      <w:pPr>
        <w:pStyle w:val="ESBHead"/>
        <w:jc w:val="left"/>
        <w:rPr>
          <w:i/>
        </w:rPr>
      </w:pPr>
      <w:r w:rsidRPr="00BE1E8F">
        <w:rPr>
          <w:rFonts w:cs="Arial"/>
          <w:bCs/>
          <w:i/>
          <w:color w:val="4F81BD"/>
          <w:sz w:val="20"/>
          <w:lang w:val="es-ES"/>
        </w:rPr>
        <w:t>(*) En caso de modificación de la resolución de concesión con extensión del periodo de ejecución, consigne las fechas de dicha modificación.</w:t>
      </w:r>
    </w:p>
    <w:p w14:paraId="0AE41DE3" w14:textId="77777777" w:rsidR="00DF42EE" w:rsidRPr="00DF42EE" w:rsidRDefault="00DF42EE" w:rsidP="00DF42EE">
      <w:pPr>
        <w:pStyle w:val="ESBHead"/>
        <w:jc w:val="left"/>
        <w:rPr>
          <w:rStyle w:val="ESBBold"/>
          <w:rFonts w:cs="Arial"/>
          <w:b w:val="0"/>
          <w:color w:val="4F81BD"/>
          <w:lang w:val="es-ES"/>
        </w:rPr>
      </w:pPr>
    </w:p>
    <w:p w14:paraId="0376566F" w14:textId="77777777" w:rsidR="00BE1E8F" w:rsidRPr="00BE1E8F" w:rsidRDefault="00BE1E8F" w:rsidP="004A655B">
      <w:pPr>
        <w:rPr>
          <w:rStyle w:val="ESBBold"/>
          <w:rFonts w:cs="Arial"/>
          <w:szCs w:val="20"/>
        </w:rPr>
      </w:pPr>
    </w:p>
    <w:p w14:paraId="6DDEA4F5" w14:textId="279CD0F9" w:rsidR="004A655B" w:rsidRPr="00BE1E8F" w:rsidRDefault="00DF42EE" w:rsidP="00091353">
      <w:pPr>
        <w:pStyle w:val="Prrafodelista"/>
        <w:numPr>
          <w:ilvl w:val="0"/>
          <w:numId w:val="3"/>
        </w:numPr>
        <w:outlineLvl w:val="0"/>
        <w:rPr>
          <w:rStyle w:val="ESBBold"/>
          <w:rFonts w:cs="Arial"/>
        </w:rPr>
      </w:pPr>
      <w:r w:rsidRPr="00DF42EE">
        <w:rPr>
          <w:rStyle w:val="ESBBold"/>
          <w:rFonts w:cs="Arial"/>
        </w:rPr>
        <w:t>Motivación de los cambios solicitados</w:t>
      </w:r>
      <w:r w:rsidR="004A655B" w:rsidRPr="00BE1E8F">
        <w:rPr>
          <w:rStyle w:val="ESBBold"/>
          <w:rFonts w:cs="Arial"/>
        </w:rPr>
        <w:t>:</w:t>
      </w:r>
    </w:p>
    <w:p w14:paraId="116B3388" w14:textId="77777777" w:rsidR="005923B6" w:rsidRPr="00BE1E8F" w:rsidRDefault="005923B6" w:rsidP="004A655B">
      <w:pPr>
        <w:rPr>
          <w:rStyle w:val="ESBBold"/>
          <w:rFonts w:cs="Arial"/>
          <w:szCs w:val="20"/>
        </w:rPr>
      </w:pPr>
    </w:p>
    <w:p w14:paraId="403BE4E9" w14:textId="67255D00" w:rsidR="004A655B" w:rsidRPr="00BE1E8F" w:rsidRDefault="00DF42EE" w:rsidP="003148B9">
      <w:pPr>
        <w:pBdr>
          <w:top w:val="single" w:sz="18" w:space="1" w:color="auto"/>
          <w:left w:val="single" w:sz="18" w:space="4" w:color="auto"/>
          <w:bottom w:val="single" w:sz="18" w:space="0" w:color="auto"/>
          <w:right w:val="single" w:sz="18" w:space="4" w:color="auto"/>
        </w:pBdr>
        <w:rPr>
          <w:rStyle w:val="ESBStandard1"/>
          <w:rFonts w:cs="Arial"/>
          <w:szCs w:val="20"/>
        </w:rPr>
      </w:pPr>
      <w:r w:rsidRPr="00DF42EE">
        <w:rPr>
          <w:rFonts w:ascii="Arial" w:hAnsi="Arial" w:cs="Arial"/>
          <w:i/>
          <w:sz w:val="20"/>
          <w:szCs w:val="20"/>
        </w:rPr>
        <w:t xml:space="preserve">Indique los motivos de la solicitud. Describa la necesidad de todos los cambios solicitados, exponiendo los motivos técnico-económicos de dichos cambios y justificando la imposibilidad de cumplir las condiciones impuestas en la resolución de concesión. Detalle las tareas y actividades que serán financiadas mediante los cambios solicitados y su necesidad para el desarrollo de los diferentes </w:t>
      </w:r>
      <w:r w:rsidRPr="00DF42EE">
        <w:rPr>
          <w:rFonts w:ascii="Arial" w:hAnsi="Arial" w:cs="Arial"/>
          <w:i/>
          <w:sz w:val="20"/>
          <w:szCs w:val="20"/>
        </w:rPr>
        <w:lastRenderedPageBreak/>
        <w:t>objetivos de la actuación. 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r>
        <w:rPr>
          <w:rFonts w:ascii="Arial" w:hAnsi="Arial" w:cs="Arial"/>
          <w:i/>
          <w:sz w:val="20"/>
          <w:szCs w:val="20"/>
        </w:rPr>
        <w:t>.</w:t>
      </w: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104CCCCE"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r w:rsidRPr="00BE1E8F">
        <w:rPr>
          <w:rFonts w:ascii="Arial" w:hAnsi="Arial" w:cs="Arial"/>
          <w:i/>
          <w:sz w:val="20"/>
          <w:szCs w:val="20"/>
        </w:rPr>
        <w:t xml:space="preserve">Describa las tareas que se realizarán hasta la finalización del proyecto </w:t>
      </w:r>
      <w:r w:rsidRPr="00BE1E8F">
        <w:rPr>
          <w:rStyle w:val="ESBBold"/>
          <w:rFonts w:cs="Arial"/>
          <w:b w:val="0"/>
          <w:i/>
          <w:szCs w:val="20"/>
        </w:rPr>
        <w:t>para alcanzar el cumplimiento de los objetivos pendientes</w:t>
      </w:r>
      <w:r w:rsidR="00DF42EE">
        <w:rPr>
          <w:rStyle w:val="ESBBold"/>
          <w:rFonts w:cs="Arial"/>
          <w:b w:val="0"/>
          <w:i/>
          <w:szCs w:val="20"/>
        </w:rPr>
        <w:t>.</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374987DA"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w:t>
      </w:r>
      <w:r w:rsidR="00DF42EE">
        <w:rPr>
          <w:rFonts w:ascii="Arial" w:hAnsi="Arial" w:cs="Arial"/>
          <w:i/>
          <w:sz w:val="20"/>
          <w:szCs w:val="20"/>
        </w:rPr>
        <w:t>esta</w:t>
      </w:r>
      <w:r w:rsidR="00C11FDC" w:rsidRPr="00BE1E8F">
        <w:rPr>
          <w:rFonts w:ascii="Arial" w:hAnsi="Arial" w:cs="Arial"/>
          <w:i/>
          <w:sz w:val="20"/>
          <w:szCs w:val="20"/>
        </w:rPr>
        <w:t xml:space="preserve"> solicitud</w:t>
      </w:r>
      <w:r w:rsidR="00A51D18" w:rsidRPr="00BE1E8F">
        <w:rPr>
          <w:rFonts w:ascii="Arial" w:hAnsi="Arial" w:cs="Arial"/>
          <w:i/>
          <w:sz w:val="20"/>
          <w:szCs w:val="20"/>
        </w:rPr>
        <w:t xml:space="preserve">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lastRenderedPageBreak/>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26625EF4" w14:textId="77777777" w:rsidR="00DF42EE"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2855D7E" w14:textId="6EBE6BB9" w:rsidR="00DF42EE" w:rsidRPr="00F51D26"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DF42EE">
        <w:rPr>
          <w:rFonts w:ascii="Arial" w:hAnsi="Arial" w:cs="Arial"/>
          <w:sz w:val="20"/>
          <w:szCs w:val="20"/>
          <w:u w:val="single"/>
        </w:rPr>
        <w:t>Subcontrataciones</w:t>
      </w:r>
      <w:r>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roofErr w:type="gramStart"/>
      <w:r w:rsidRPr="00BE1E8F">
        <w:rPr>
          <w:rFonts w:ascii="Arial" w:hAnsi="Arial" w:cs="Arial"/>
          <w:b/>
          <w:sz w:val="20"/>
          <w:szCs w:val="20"/>
        </w:rPr>
        <w:t>Total</w:t>
      </w:r>
      <w:proofErr w:type="gramEnd"/>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514519DE"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A26220">
            <w:pPr>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683C0F" w:rsidRPr="00BE1E8F" w14:paraId="616ADA27" w14:textId="77777777" w:rsidTr="00FA68AE">
        <w:trPr>
          <w:trHeight w:val="688"/>
        </w:trPr>
        <w:tc>
          <w:tcPr>
            <w:tcW w:w="2954" w:type="dxa"/>
            <w:tcBorders>
              <w:top w:val="single" w:sz="2" w:space="0" w:color="auto"/>
              <w:bottom w:val="single" w:sz="4" w:space="0" w:color="auto"/>
            </w:tcBorders>
            <w:vAlign w:val="center"/>
          </w:tcPr>
          <w:p w14:paraId="7B329387" w14:textId="29433F78" w:rsidR="00683C0F" w:rsidRPr="00833A3F" w:rsidRDefault="00683C0F" w:rsidP="00D454E6">
            <w:pPr>
              <w:rPr>
                <w:rStyle w:val="ESBBold"/>
                <w:rFonts w:cs="Arial"/>
                <w:b w:val="0"/>
                <w:szCs w:val="20"/>
                <w:u w:val="single"/>
              </w:rPr>
            </w:pPr>
            <w:r w:rsidRPr="00833A3F">
              <w:rPr>
                <w:rStyle w:val="ESBBold"/>
                <w:rFonts w:cs="Arial"/>
                <w:b w:val="0"/>
                <w:szCs w:val="20"/>
                <w:u w:val="single"/>
              </w:rPr>
              <w:lastRenderedPageBreak/>
              <w:t>Subcontrataciones</w:t>
            </w:r>
          </w:p>
        </w:tc>
        <w:tc>
          <w:tcPr>
            <w:tcW w:w="1985" w:type="dxa"/>
            <w:tcBorders>
              <w:top w:val="single" w:sz="2" w:space="0" w:color="auto"/>
              <w:bottom w:val="single" w:sz="4" w:space="0" w:color="auto"/>
            </w:tcBorders>
          </w:tcPr>
          <w:p w14:paraId="5E52ADEF" w14:textId="77777777" w:rsidR="00683C0F" w:rsidRPr="00BE1E8F" w:rsidRDefault="00683C0F" w:rsidP="00D454E6">
            <w:pPr>
              <w:rPr>
                <w:rStyle w:val="ESBBold"/>
                <w:rFonts w:cs="Arial"/>
                <w:szCs w:val="20"/>
              </w:rPr>
            </w:pPr>
          </w:p>
        </w:tc>
        <w:tc>
          <w:tcPr>
            <w:tcW w:w="4217" w:type="dxa"/>
            <w:tcBorders>
              <w:top w:val="single" w:sz="2" w:space="0" w:color="auto"/>
              <w:bottom w:val="single" w:sz="4" w:space="0" w:color="auto"/>
            </w:tcBorders>
          </w:tcPr>
          <w:p w14:paraId="24E78876" w14:textId="77777777" w:rsidR="00683C0F" w:rsidRPr="00BE1E8F" w:rsidRDefault="00683C0F" w:rsidP="00D454E6">
            <w:pPr>
              <w:rPr>
                <w:rStyle w:val="ESBBold"/>
                <w:rFonts w:cs="Arial"/>
                <w:szCs w:val="20"/>
              </w:rPr>
            </w:pPr>
          </w:p>
        </w:tc>
      </w:tr>
      <w:tr w:rsidR="004A655B" w:rsidRPr="00BE1E8F" w14:paraId="24883BEB" w14:textId="77777777" w:rsidTr="00FB5305">
        <w:trPr>
          <w:trHeight w:val="688"/>
        </w:trPr>
        <w:tc>
          <w:tcPr>
            <w:tcW w:w="2954" w:type="dxa"/>
            <w:tcBorders>
              <w:top w:val="single" w:sz="4" w:space="0" w:color="auto"/>
              <w:left w:val="single" w:sz="18" w:space="0" w:color="auto"/>
              <w:bottom w:val="single" w:sz="18" w:space="0" w:color="auto"/>
              <w:right w:val="single" w:sz="4"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t>Otros</w:t>
            </w:r>
            <w:r w:rsidR="007D7781" w:rsidRPr="00936303">
              <w:rPr>
                <w:rStyle w:val="ESBBold"/>
                <w:rFonts w:cs="Arial"/>
                <w:b w:val="0"/>
                <w:szCs w:val="20"/>
              </w:rPr>
              <w:t xml:space="preserve"> costes</w:t>
            </w:r>
          </w:p>
        </w:tc>
        <w:tc>
          <w:tcPr>
            <w:tcW w:w="1985" w:type="dxa"/>
            <w:tcBorders>
              <w:top w:val="single" w:sz="4" w:space="0" w:color="auto"/>
              <w:left w:val="single" w:sz="4" w:space="0" w:color="auto"/>
              <w:bottom w:val="single" w:sz="18" w:space="0" w:color="auto"/>
              <w:right w:val="single" w:sz="4"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4" w:space="0" w:color="auto"/>
              <w:left w:val="single" w:sz="4" w:space="0" w:color="auto"/>
              <w:bottom w:val="single" w:sz="18" w:space="0" w:color="auto"/>
              <w:right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4E28A5D6" w14:textId="0A4666C9" w:rsidR="00BB06CB" w:rsidRPr="000227F9" w:rsidRDefault="00BB06CB" w:rsidP="00BB06CB">
      <w:pPr>
        <w:pStyle w:val="Prrafodelista"/>
        <w:numPr>
          <w:ilvl w:val="0"/>
          <w:numId w:val="3"/>
        </w:numPr>
        <w:outlineLvl w:val="0"/>
        <w:rPr>
          <w:rStyle w:val="ESBBold"/>
          <w:rFonts w:cs="Arial"/>
        </w:rPr>
      </w:pPr>
      <w:bookmarkStart w:id="0" w:name="_Hlk128036821"/>
      <w:bookmarkStart w:id="1" w:name="_Hlk128036697"/>
      <w:r w:rsidRPr="00BB06CB">
        <w:rPr>
          <w:rStyle w:val="ESBBold"/>
          <w:rFonts w:cs="Arial"/>
        </w:rPr>
        <w:t xml:space="preserve">Cumplimiento del principio DNSH (“Do No </w:t>
      </w:r>
      <w:proofErr w:type="spellStart"/>
      <w:r w:rsidRPr="00BB06CB">
        <w:rPr>
          <w:rStyle w:val="ESBBold"/>
          <w:rFonts w:cs="Arial"/>
        </w:rPr>
        <w:t>Significant</w:t>
      </w:r>
      <w:proofErr w:type="spellEnd"/>
      <w:r w:rsidRPr="00BB06CB">
        <w:rPr>
          <w:rStyle w:val="ESBBold"/>
          <w:rFonts w:cs="Arial"/>
        </w:rPr>
        <w:t xml:space="preserve"> </w:t>
      </w:r>
      <w:proofErr w:type="spellStart"/>
      <w:r w:rsidRPr="00BB06CB">
        <w:rPr>
          <w:rStyle w:val="ESBBold"/>
          <w:rFonts w:cs="Arial"/>
        </w:rPr>
        <w:t>Harm</w:t>
      </w:r>
      <w:proofErr w:type="spellEnd"/>
      <w:r w:rsidRPr="00BB06CB">
        <w:rPr>
          <w:rStyle w:val="ESBBold"/>
          <w:rFonts w:cs="Arial"/>
        </w:rPr>
        <w:t>”)</w:t>
      </w:r>
    </w:p>
    <w:bookmarkEnd w:id="0"/>
    <w:p w14:paraId="086ED109" w14:textId="77777777" w:rsidR="00BB06CB" w:rsidRPr="00BE1E8F" w:rsidRDefault="00BB06CB" w:rsidP="00BB06CB">
      <w:pPr>
        <w:rPr>
          <w:rStyle w:val="ESBBold"/>
          <w:rFonts w:cs="Arial"/>
          <w:szCs w:val="20"/>
        </w:rPr>
      </w:pPr>
    </w:p>
    <w:p w14:paraId="64520851" w14:textId="77777777" w:rsidR="00D30DB4" w:rsidRDefault="00BB06CB" w:rsidP="00BB06CB">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B06CB">
        <w:rPr>
          <w:rFonts w:ascii="Arial" w:hAnsi="Arial" w:cs="Arial"/>
          <w:i/>
          <w:iCs/>
          <w:sz w:val="20"/>
          <w:szCs w:val="20"/>
        </w:rPr>
        <w:t xml:space="preserve">Estos proyectos han sido financiados en el marco del </w:t>
      </w:r>
      <w:hyperlink r:id="rId7" w:history="1">
        <w:r w:rsidRPr="00BB06CB">
          <w:rPr>
            <w:rStyle w:val="Hipervnculo"/>
            <w:rFonts w:ascii="Arial" w:hAnsi="Arial" w:cs="Arial"/>
            <w:i/>
            <w:iCs/>
            <w:sz w:val="20"/>
            <w:szCs w:val="20"/>
          </w:rPr>
          <w:t>componente 17</w:t>
        </w:r>
      </w:hyperlink>
      <w:r w:rsidRPr="00BB06CB">
        <w:rPr>
          <w:rFonts w:ascii="Arial" w:hAnsi="Arial" w:cs="Arial"/>
          <w:i/>
          <w:iCs/>
          <w:sz w:val="20"/>
          <w:szCs w:val="20"/>
        </w:rPr>
        <w:t xml:space="preserve"> (C17) del Plan de Recuperación, Transformación y Resiliencia, denominado «Reforma institucional y fortalecimiento de las capacidades del Sistema Nacional de Ciencia, Tecnología e Innovación», que pretende reformar el Sistema Español de Ciencia, Tecnología y de Innovación (SECTI) para adecuarlo a los estándares internacionales y permitir el desarrollo de sus capacidades y recursos. En el componente 17, en el que se incluyen tres reformas y nueve inversiones, las ayudas a proyectos «Europa Excelencia» forman parte de la inversión I2, denominada «Fortalecimiento de las capacidades, infraestructuras y equipamientos de los agentes del SECTI», que abarca una serie de convocatorias de ayudas para potenciar la capacidad de internacionalización del sistema español de I+D+i. La inversión I2 tiene vinculados los objetivos 259 y 260 de la </w:t>
      </w:r>
      <w:hyperlink r:id="rId8" w:history="1">
        <w:r w:rsidRPr="00BB06CB">
          <w:rPr>
            <w:rStyle w:val="Hipervnculo"/>
            <w:rFonts w:ascii="Arial" w:hAnsi="Arial" w:cs="Arial"/>
            <w:i/>
            <w:iCs/>
            <w:sz w:val="20"/>
            <w:szCs w:val="20"/>
          </w:rPr>
          <w:t>Decisión de Ejecución del Consejo</w:t>
        </w:r>
      </w:hyperlink>
      <w:r w:rsidRPr="00BB06CB">
        <w:rPr>
          <w:rFonts w:ascii="Arial" w:hAnsi="Arial" w:cs="Arial"/>
          <w:i/>
          <w:iCs/>
          <w:sz w:val="20"/>
          <w:szCs w:val="20"/>
        </w:rPr>
        <w:t xml:space="preserve"> (CID, por sus siglas en inglés, “Council </w:t>
      </w:r>
      <w:proofErr w:type="spellStart"/>
      <w:r w:rsidRPr="00BB06CB">
        <w:rPr>
          <w:rFonts w:ascii="Arial" w:hAnsi="Arial" w:cs="Arial"/>
          <w:i/>
          <w:iCs/>
          <w:sz w:val="20"/>
          <w:szCs w:val="20"/>
        </w:rPr>
        <w:t>Implementing</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Decision</w:t>
      </w:r>
      <w:proofErr w:type="spellEnd"/>
      <w:r w:rsidRPr="00BB06CB">
        <w:rPr>
          <w:rFonts w:ascii="Arial" w:hAnsi="Arial" w:cs="Arial"/>
          <w:i/>
          <w:iCs/>
          <w:sz w:val="20"/>
          <w:szCs w:val="20"/>
        </w:rPr>
        <w:t>”) de 13 de julio, relativa a la aprobación de la evaluación del plan de recuperación y resiliencia de España, a los que contribuirá esta convocatoria.</w:t>
      </w:r>
    </w:p>
    <w:p w14:paraId="7F343E4D" w14:textId="707BCB64" w:rsidR="00BB06CB" w:rsidRPr="00D30DB4" w:rsidRDefault="00BB06CB" w:rsidP="00D30DB4">
      <w:pPr>
        <w:pBdr>
          <w:top w:val="single" w:sz="18" w:space="1" w:color="auto"/>
          <w:left w:val="single" w:sz="18" w:space="4" w:color="auto"/>
          <w:bottom w:val="single" w:sz="18" w:space="1" w:color="auto"/>
          <w:right w:val="single" w:sz="18" w:space="4" w:color="auto"/>
        </w:pBdr>
        <w:jc w:val="both"/>
        <w:rPr>
          <w:rFonts w:ascii="Arial" w:hAnsi="Arial" w:cs="Arial"/>
          <w:i/>
          <w:iCs/>
          <w:sz w:val="20"/>
          <w:szCs w:val="20"/>
        </w:rPr>
      </w:pPr>
      <w:r w:rsidRPr="00BB06CB">
        <w:rPr>
          <w:rFonts w:ascii="Arial" w:hAnsi="Arial" w:cs="Arial"/>
          <w:i/>
          <w:iCs/>
          <w:sz w:val="20"/>
          <w:szCs w:val="20"/>
        </w:rPr>
        <w:t xml:space="preserve">El cumplimiento del principio DNSH (en sus siglas en inglés, “Do No </w:t>
      </w:r>
      <w:proofErr w:type="spellStart"/>
      <w:r w:rsidRPr="00BB06CB">
        <w:rPr>
          <w:rFonts w:ascii="Arial" w:hAnsi="Arial" w:cs="Arial"/>
          <w:i/>
          <w:iCs/>
          <w:sz w:val="20"/>
          <w:szCs w:val="20"/>
        </w:rPr>
        <w:t>Significant</w:t>
      </w:r>
      <w:proofErr w:type="spellEnd"/>
      <w:r w:rsidRPr="00BB06CB">
        <w:rPr>
          <w:rFonts w:ascii="Arial" w:hAnsi="Arial" w:cs="Arial"/>
          <w:i/>
          <w:iCs/>
          <w:sz w:val="20"/>
          <w:szCs w:val="20"/>
        </w:rPr>
        <w:t xml:space="preserve"> </w:t>
      </w:r>
      <w:proofErr w:type="spellStart"/>
      <w:r w:rsidRPr="00BB06CB">
        <w:rPr>
          <w:rFonts w:ascii="Arial" w:hAnsi="Arial" w:cs="Arial"/>
          <w:i/>
          <w:iCs/>
          <w:sz w:val="20"/>
          <w:szCs w:val="20"/>
        </w:rPr>
        <w:t>Harm</w:t>
      </w:r>
      <w:proofErr w:type="spellEnd"/>
      <w:r w:rsidRPr="00BB06CB">
        <w:rPr>
          <w:rFonts w:ascii="Arial" w:hAnsi="Arial" w:cs="Arial"/>
          <w:i/>
          <w:iCs/>
          <w:sz w:val="20"/>
          <w:szCs w:val="20"/>
        </w:rPr>
        <w:t>”) consiste en garantizar que las medidas del Plan de Recuperación, Transformación y Resiliencia (PRTR) no causen daño para ninguno de los seis objetivos medioambientales considerados en el Reglamento de Taxonomía (Reglamento (UE) 2020/852 del Parlamento Europeo y del Consejo de 18 de junio de 2020). Por lo tanto, tendrán la consideración de actividades no elegibles aquellas que incumplan o pudieran incumplir la legislación medioambiental nacional y de la UE que resulte de aplicación. Para que una actividad (de bajo impacto ambiental o no de bajo impacto ambiental) sea conforme al principio DNSH, tendrá que justificar que se respetan cada uno de los 6 objetivos medioambientales considerados en el Reglamento de Taxonomía.</w:t>
      </w:r>
      <w:r w:rsidR="00D30DB4" w:rsidRPr="00D30DB4">
        <w:t xml:space="preserve"> </w:t>
      </w:r>
      <w:bookmarkStart w:id="2" w:name="_Hlk128037537"/>
      <w:r w:rsidR="00D30DB4" w:rsidRPr="00D30DB4">
        <w:rPr>
          <w:rFonts w:ascii="Arial" w:hAnsi="Arial" w:cs="Arial"/>
          <w:i/>
          <w:iCs/>
          <w:sz w:val="20"/>
          <w:szCs w:val="20"/>
        </w:rPr>
        <w:t>No podrán ser subvencionadas las actividades detalladas en los apartados a) a e) del artículo 7.3 de la Orden de bases reguladoras.</w:t>
      </w:r>
      <w:bookmarkEnd w:id="2"/>
    </w:p>
    <w:p w14:paraId="679CD5EE"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26056D8" w14:textId="77777777" w:rsidR="00D30DB4" w:rsidRDefault="00D30DB4"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D2907DA" w14:textId="0868F1FD" w:rsidR="00BB06CB" w:rsidRDefault="006C4AC7"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En base a estas consideraciones</w:t>
      </w:r>
      <w:r w:rsidR="00C74BA5">
        <w:rPr>
          <w:rFonts w:ascii="Arial" w:hAnsi="Arial" w:cs="Arial"/>
          <w:sz w:val="20"/>
          <w:szCs w:val="20"/>
        </w:rPr>
        <w:t>, el beneficiario declara que:</w:t>
      </w:r>
    </w:p>
    <w:p w14:paraId="3D182045" w14:textId="619ADB1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0CD4145E" w14:textId="18ECB948"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1) E</w:t>
      </w:r>
      <w:r w:rsidRPr="00C74BA5">
        <w:rPr>
          <w:rFonts w:ascii="Arial" w:hAnsi="Arial" w:cs="Arial"/>
          <w:sz w:val="20"/>
          <w:szCs w:val="20"/>
        </w:rPr>
        <w:t xml:space="preserve">ste cambio no afectará a la contribución de este proyecto en la consecución de los objetivos 259 y 260 de la Decisión de Ejecución del Consejo (CID, por sus siglas en inglés, “Council </w:t>
      </w:r>
      <w:proofErr w:type="spellStart"/>
      <w:r w:rsidRPr="00C74BA5">
        <w:rPr>
          <w:rFonts w:ascii="Arial" w:hAnsi="Arial" w:cs="Arial"/>
          <w:sz w:val="20"/>
          <w:szCs w:val="20"/>
        </w:rPr>
        <w:t>Implementing</w:t>
      </w:r>
      <w:proofErr w:type="spellEnd"/>
      <w:r w:rsidRPr="00C74BA5">
        <w:rPr>
          <w:rFonts w:ascii="Arial" w:hAnsi="Arial" w:cs="Arial"/>
          <w:sz w:val="20"/>
          <w:szCs w:val="20"/>
        </w:rPr>
        <w:t xml:space="preserve"> </w:t>
      </w:r>
      <w:proofErr w:type="spellStart"/>
      <w:r w:rsidRPr="00C74BA5">
        <w:rPr>
          <w:rFonts w:ascii="Arial" w:hAnsi="Arial" w:cs="Arial"/>
          <w:sz w:val="20"/>
          <w:szCs w:val="20"/>
        </w:rPr>
        <w:t>Decision</w:t>
      </w:r>
      <w:proofErr w:type="spellEnd"/>
      <w:r w:rsidRPr="00C74BA5">
        <w:rPr>
          <w:rFonts w:ascii="Arial" w:hAnsi="Arial" w:cs="Arial"/>
          <w:sz w:val="20"/>
          <w:szCs w:val="20"/>
        </w:rPr>
        <w:t>”) de 13 de julio, relativa a la aprobación de la evaluación del Plan de Recuperación, Transformación y Resiliencia de España.</w:t>
      </w:r>
    </w:p>
    <w:p w14:paraId="4C8CAEBC" w14:textId="4C18493F" w:rsidR="00C74BA5" w:rsidRDefault="00C74BA5" w:rsidP="00C74BA5">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7EDD8A06" w14:textId="75D7121A" w:rsidR="00BB06CB" w:rsidRDefault="00EE15BE"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2) </w:t>
      </w:r>
      <w:r w:rsidRPr="00EE15BE">
        <w:rPr>
          <w:rFonts w:ascii="Arial" w:hAnsi="Arial" w:cs="Arial"/>
          <w:sz w:val="20"/>
          <w:szCs w:val="20"/>
        </w:rPr>
        <w:t>La entidad beneficiaria garantizar</w:t>
      </w:r>
      <w:r>
        <w:rPr>
          <w:rFonts w:ascii="Arial" w:hAnsi="Arial" w:cs="Arial"/>
          <w:sz w:val="20"/>
          <w:szCs w:val="20"/>
        </w:rPr>
        <w:t>á</w:t>
      </w:r>
      <w:r w:rsidRPr="00EE15BE">
        <w:rPr>
          <w:rFonts w:ascii="Arial" w:hAnsi="Arial" w:cs="Arial"/>
          <w:sz w:val="20"/>
          <w:szCs w:val="20"/>
        </w:rPr>
        <w:t xml:space="preserve"> el pleno cumplimiento del principio de «no causar un perjuicio significativo al medio ambiente» de acuerdo con lo previsto en el Plan de Recuperación, Transformación y Resiliencia, aprobado por Consejo de ministros el 27 de abril de 2021 y por el Reglamento (UE) </w:t>
      </w:r>
      <w:proofErr w:type="spellStart"/>
      <w:r w:rsidRPr="00EE15BE">
        <w:rPr>
          <w:rFonts w:ascii="Arial" w:hAnsi="Arial" w:cs="Arial"/>
          <w:sz w:val="20"/>
          <w:szCs w:val="20"/>
        </w:rPr>
        <w:t>nº</w:t>
      </w:r>
      <w:proofErr w:type="spellEnd"/>
      <w:r w:rsidRPr="00EE15BE">
        <w:rPr>
          <w:rFonts w:ascii="Arial" w:hAnsi="Arial" w:cs="Arial"/>
          <w:sz w:val="20"/>
          <w:szCs w:val="20"/>
        </w:rPr>
        <w:t xml:space="preserve"> 2021/241 del Parlamento Europeo y del Consejo, de 12 de febrero de 2021.</w:t>
      </w:r>
    </w:p>
    <w:p w14:paraId="0751D806" w14:textId="77777777" w:rsid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14:paraId="455F4489" w14:textId="06E431B7" w:rsidR="0008725A" w:rsidRPr="0008725A" w:rsidRDefault="0008725A" w:rsidP="00EE15BE">
      <w:pPr>
        <w:pBdr>
          <w:top w:val="single" w:sz="18" w:space="1" w:color="auto"/>
          <w:left w:val="single" w:sz="18" w:space="4" w:color="auto"/>
          <w:bottom w:val="single" w:sz="18" w:space="1" w:color="auto"/>
          <w:right w:val="single" w:sz="18" w:space="4" w:color="auto"/>
        </w:pBdr>
        <w:jc w:val="both"/>
        <w:rPr>
          <w:rFonts w:ascii="Arial" w:hAnsi="Arial" w:cs="Arial"/>
          <w:sz w:val="20"/>
          <w:szCs w:val="20"/>
          <w:lang w:val="de-DE"/>
        </w:rPr>
      </w:pPr>
      <w:r>
        <w:rPr>
          <w:rFonts w:ascii="Arial" w:hAnsi="Arial" w:cs="Arial"/>
          <w:sz w:val="20"/>
          <w:szCs w:val="20"/>
        </w:rPr>
        <w:t xml:space="preserve">3) </w:t>
      </w:r>
      <w:r w:rsidRPr="0008725A">
        <w:rPr>
          <w:rFonts w:ascii="Arial" w:hAnsi="Arial" w:cs="Arial"/>
          <w:sz w:val="20"/>
          <w:szCs w:val="20"/>
        </w:rPr>
        <w:t xml:space="preserve">En caso de subcontratación, </w:t>
      </w:r>
      <w:r w:rsidR="006205B2">
        <w:rPr>
          <w:rFonts w:ascii="Arial" w:hAnsi="Arial" w:cs="Arial"/>
          <w:sz w:val="20"/>
          <w:szCs w:val="20"/>
        </w:rPr>
        <w:t xml:space="preserve">tiene </w:t>
      </w:r>
      <w:r w:rsidR="009143BA" w:rsidRPr="0008725A">
        <w:rPr>
          <w:rFonts w:ascii="Arial" w:hAnsi="Arial" w:cs="Arial"/>
          <w:sz w:val="20"/>
          <w:szCs w:val="20"/>
        </w:rPr>
        <w:t>prev</w:t>
      </w:r>
      <w:r w:rsidR="006205B2">
        <w:rPr>
          <w:rFonts w:ascii="Arial" w:hAnsi="Arial" w:cs="Arial"/>
          <w:sz w:val="20"/>
          <w:szCs w:val="20"/>
        </w:rPr>
        <w:t>isto</w:t>
      </w:r>
      <w:r w:rsidRPr="0008725A">
        <w:rPr>
          <w:rFonts w:ascii="Arial" w:hAnsi="Arial" w:cs="Arial"/>
          <w:sz w:val="20"/>
          <w:szCs w:val="20"/>
        </w:rPr>
        <w:t xml:space="preserve"> mecanismos para asegurar que los subcontratistas cumplan con el «principio DNSH».</w:t>
      </w:r>
    </w:p>
    <w:p w14:paraId="69BAC8F6"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F720275" w14:textId="77777777" w:rsidR="00BB06CB" w:rsidRPr="00BE1E8F" w:rsidRDefault="00BB06CB" w:rsidP="00BB06CB">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3D50C02" w14:textId="28B0B9B4" w:rsidR="00BB06CB" w:rsidRDefault="00BB06CB" w:rsidP="00BB06CB">
      <w:pPr>
        <w:autoSpaceDE w:val="0"/>
        <w:autoSpaceDN w:val="0"/>
        <w:adjustRightInd w:val="0"/>
        <w:rPr>
          <w:rStyle w:val="ESBBold"/>
          <w:rFonts w:cs="Arial"/>
          <w:szCs w:val="20"/>
        </w:rPr>
      </w:pPr>
    </w:p>
    <w:bookmarkEnd w:id="1"/>
    <w:p w14:paraId="1ED0F14E" w14:textId="77777777" w:rsidR="00A42410" w:rsidRPr="00BE1E8F" w:rsidRDefault="00A42410" w:rsidP="00BB06CB">
      <w:pPr>
        <w:autoSpaceDE w:val="0"/>
        <w:autoSpaceDN w:val="0"/>
        <w:adjustRightInd w:val="0"/>
        <w:rPr>
          <w:rStyle w:val="ESBBold"/>
          <w:rFonts w:cs="Arial"/>
          <w:szCs w:val="20"/>
        </w:rPr>
      </w:pPr>
    </w:p>
    <w:p w14:paraId="65236E76" w14:textId="77777777"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w:t>
      </w:r>
      <w:proofErr w:type="spellStart"/>
      <w:r w:rsidR="00A571EF">
        <w:rPr>
          <w:rFonts w:ascii="Arial" w:hAnsi="Arial" w:cs="Arial"/>
          <w:sz w:val="16"/>
          <w:szCs w:val="16"/>
          <w:lang w:val="es-ES_tradnl"/>
        </w:rPr>
        <w:t>Facilit</w:t>
      </w:r>
      <w:proofErr w:type="spellEnd"/>
      <w:r w:rsidRPr="00995301">
        <w:rPr>
          <w:rFonts w:ascii="Arial" w:hAnsi="Arial" w:cs="Arial"/>
          <w:sz w:val="16"/>
          <w:szCs w:val="16"/>
          <w:lang w:val="es-ES_tradnl"/>
        </w:rPr>
        <w:t>@</w:t>
      </w:r>
      <w:r w:rsidRPr="00B06901">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8B26758" w14:textId="77777777" w:rsidR="00B06901" w:rsidRDefault="00B06901" w:rsidP="00B06901">
      <w:pPr>
        <w:pStyle w:val="Textosinformato"/>
        <w:jc w:val="both"/>
        <w:rPr>
          <w:rFonts w:ascii="Arial" w:hAnsi="Arial" w:cs="Arial"/>
          <w:i/>
          <w:sz w:val="16"/>
          <w:szCs w:val="16"/>
          <w:lang w:val="es-ES_tradnl"/>
        </w:rPr>
      </w:pPr>
    </w:p>
    <w:p w14:paraId="5F3356E9" w14:textId="77777777" w:rsidR="00B06901" w:rsidRPr="00B06901" w:rsidRDefault="00B06901" w:rsidP="00B06901">
      <w:pPr>
        <w:pStyle w:val="Textosinformato"/>
        <w:jc w:val="both"/>
        <w:rPr>
          <w:rFonts w:ascii="Arial" w:hAnsi="Arial" w:cs="Arial"/>
          <w:i/>
          <w:sz w:val="16"/>
          <w:szCs w:val="16"/>
          <w:lang w:val="es-ES_tradnl"/>
        </w:rPr>
      </w:pPr>
      <w:r w:rsidRPr="00B06901">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9" w:history="1">
        <w:r w:rsidRPr="00B06901">
          <w:rPr>
            <w:rStyle w:val="Hipervnculo"/>
            <w:rFonts w:ascii="Arial" w:hAnsi="Arial" w:cs="Arial"/>
            <w:i/>
            <w:sz w:val="16"/>
            <w:szCs w:val="16"/>
            <w:lang w:val="es-ES_tradnl"/>
          </w:rPr>
          <w:t>europaexcelencia.seg@aei.gob.es</w:t>
        </w:r>
      </w:hyperlink>
      <w:r w:rsidRPr="00B06901">
        <w:rPr>
          <w:rFonts w:ascii="Arial" w:hAnsi="Arial" w:cs="Arial"/>
          <w:i/>
          <w:sz w:val="16"/>
          <w:szCs w:val="16"/>
          <w:lang w:val="es-ES_tradnl"/>
        </w:rPr>
        <w:t xml:space="preserve"> </w:t>
      </w:r>
    </w:p>
    <w:p w14:paraId="4F9A0E79" w14:textId="77777777" w:rsidR="00B06901" w:rsidRPr="00B06901" w:rsidRDefault="00B06901" w:rsidP="00B06901">
      <w:pPr>
        <w:pStyle w:val="Textosinformato"/>
        <w:jc w:val="both"/>
        <w:rPr>
          <w:rFonts w:ascii="Arial" w:hAnsi="Arial" w:cs="Arial"/>
          <w:i/>
          <w:sz w:val="16"/>
          <w:szCs w:val="16"/>
          <w:lang w:val="es-ES_tradnl"/>
        </w:rPr>
      </w:pPr>
    </w:p>
    <w:p w14:paraId="642A0C06" w14:textId="77777777" w:rsidR="00B06901" w:rsidRPr="002E62FA" w:rsidRDefault="00B06901" w:rsidP="002E62FA">
      <w:pPr>
        <w:pStyle w:val="Textosinformato"/>
        <w:jc w:val="both"/>
        <w:rPr>
          <w:rFonts w:ascii="Arial" w:hAnsi="Arial" w:cs="Arial"/>
          <w:i/>
          <w:sz w:val="16"/>
          <w:szCs w:val="16"/>
        </w:rPr>
      </w:pPr>
      <w:r w:rsidRPr="002E62FA">
        <w:rPr>
          <w:rFonts w:ascii="Arial" w:hAnsi="Arial" w:cs="Arial"/>
          <w:i/>
          <w:sz w:val="16"/>
          <w:szCs w:val="16"/>
          <w:lang w:val="es-ES_tradnl"/>
        </w:rPr>
        <w:lastRenderedPageBreak/>
        <w:t xml:space="preserve">Para consultas relacionadas con problemas informáticos, por favor envíelas al buzón: </w:t>
      </w:r>
      <w:hyperlink r:id="rId10" w:history="1">
        <w:r w:rsidR="002E62FA" w:rsidRPr="002E62FA">
          <w:rPr>
            <w:rStyle w:val="Hipervnculo"/>
            <w:rFonts w:ascii="Arial" w:hAnsi="Arial" w:cs="Arial"/>
            <w:i/>
            <w:sz w:val="16"/>
            <w:szCs w:val="16"/>
          </w:rPr>
          <w:t>soporte-cauidi@ciencia.gob.es</w:t>
        </w:r>
      </w:hyperlink>
      <w:r w:rsidR="002E62FA" w:rsidRPr="002E62FA">
        <w:rPr>
          <w:rFonts w:ascii="Arial" w:hAnsi="Arial" w:cs="Arial"/>
          <w:i/>
          <w:sz w:val="16"/>
          <w:szCs w:val="16"/>
        </w:rPr>
        <w:t xml:space="preserve"> </w:t>
      </w:r>
    </w:p>
    <w:p w14:paraId="3C1C3ABD" w14:textId="77777777" w:rsidR="00B06901" w:rsidRPr="002E62FA" w:rsidRDefault="00B06901" w:rsidP="00B06901">
      <w:pPr>
        <w:pStyle w:val="Textosinformato"/>
        <w:jc w:val="both"/>
        <w:rPr>
          <w:rFonts w:ascii="Arial" w:hAnsi="Arial" w:cs="Arial"/>
          <w:i/>
          <w:sz w:val="16"/>
          <w:szCs w:val="16"/>
          <w:lang w:val="es-ES_tradnl"/>
        </w:rPr>
      </w:pPr>
    </w:p>
    <w:p w14:paraId="07A840FA" w14:textId="77777777" w:rsidR="00016174" w:rsidRPr="00304F88" w:rsidRDefault="00016174" w:rsidP="00016174">
      <w:pPr>
        <w:pStyle w:val="Textosinformato"/>
        <w:jc w:val="both"/>
        <w:rPr>
          <w:rStyle w:val="ESBStandard1"/>
          <w:rFonts w:cs="Arial"/>
          <w:i/>
          <w:sz w:val="16"/>
          <w:szCs w:val="16"/>
          <w:lang w:val="es-ES_tradnl"/>
        </w:rPr>
      </w:pPr>
      <w:r w:rsidRPr="00304F88">
        <w:rPr>
          <w:rFonts w:ascii="Arial" w:hAnsi="Arial" w:cs="Arial"/>
          <w:i/>
          <w:sz w:val="16"/>
          <w:szCs w:val="16"/>
          <w:lang w:val="es-ES_tradnl"/>
        </w:rPr>
        <w:t xml:space="preserve">Para consultas relacionadas con la justificación económica de las ayudas, por favor envíelas a través del siguiente formulario: </w:t>
      </w:r>
      <w:hyperlink r:id="rId11" w:history="1">
        <w:r w:rsidRPr="00304F88">
          <w:rPr>
            <w:rStyle w:val="Hipervnculo"/>
            <w:rFonts w:ascii="Arial" w:hAnsi="Arial" w:cs="Arial"/>
            <w:i/>
            <w:sz w:val="16"/>
            <w:szCs w:val="16"/>
            <w:lang w:val="es-ES_tradnl"/>
          </w:rPr>
          <w:t>https://www.aei.gob.es/contactanos/consultas-justificacion-economica</w:t>
        </w:r>
      </w:hyperlink>
    </w:p>
    <w:p w14:paraId="6616D4F8" w14:textId="77777777" w:rsidR="00CD4092" w:rsidRPr="00016174" w:rsidRDefault="00CD4092" w:rsidP="00067B1A">
      <w:pPr>
        <w:jc w:val="both"/>
        <w:rPr>
          <w:rStyle w:val="ESBStandard1"/>
          <w:rFonts w:cs="Arial"/>
          <w:b/>
          <w:bCs/>
          <w:i/>
          <w:sz w:val="18"/>
          <w:szCs w:val="18"/>
          <w:lang w:val="es-ES_tradnl"/>
        </w:rPr>
      </w:pPr>
    </w:p>
    <w:sectPr w:rsidR="00CD4092" w:rsidRPr="00016174" w:rsidSect="00525799">
      <w:headerReference w:type="default" r:id="rId12"/>
      <w:footerReference w:type="default" r:id="rId13"/>
      <w:headerReference w:type="first" r:id="rId14"/>
      <w:footerReference w:type="first" r:id="rId15"/>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98" w:type="dxa"/>
      <w:tblInd w:w="-478" w:type="dxa"/>
      <w:tblCellMar>
        <w:left w:w="70" w:type="dxa"/>
        <w:right w:w="70" w:type="dxa"/>
      </w:tblCellMar>
      <w:tblLook w:val="04A0" w:firstRow="1" w:lastRow="0" w:firstColumn="1" w:lastColumn="0" w:noHBand="0" w:noVBand="1"/>
    </w:tblPr>
    <w:tblGrid>
      <w:gridCol w:w="9615"/>
      <w:gridCol w:w="1216"/>
      <w:gridCol w:w="1216"/>
      <w:gridCol w:w="1216"/>
      <w:gridCol w:w="1340"/>
      <w:gridCol w:w="160"/>
      <w:gridCol w:w="196"/>
      <w:gridCol w:w="146"/>
    </w:tblGrid>
    <w:tr w:rsidR="0022570A" w:rsidRPr="00C924AF" w14:paraId="4DA684E3" w14:textId="77777777" w:rsidTr="008D6575">
      <w:trPr>
        <w:trHeight w:val="1980"/>
      </w:trPr>
      <w:tc>
        <w:tcPr>
          <w:tcW w:w="4550" w:type="dxa"/>
          <w:tcBorders>
            <w:top w:val="nil"/>
            <w:left w:val="nil"/>
            <w:bottom w:val="nil"/>
            <w:right w:val="nil"/>
          </w:tcBorders>
          <w:shd w:val="clear" w:color="auto" w:fill="auto"/>
          <w:noWrap/>
          <w:vAlign w:val="center"/>
          <w:hideMark/>
        </w:tcPr>
        <w:p w14:paraId="5A74373F" w14:textId="1B460CFF" w:rsidR="0022570A" w:rsidRPr="004E3E30" w:rsidRDefault="000F42E8" w:rsidP="00614C56">
          <w:pPr>
            <w:ind w:left="265"/>
            <w:rPr>
              <w:color w:val="000000"/>
            </w:rPr>
          </w:pPr>
          <w:r>
            <w:rPr>
              <w:noProof/>
              <w:color w:val="000000"/>
            </w:rPr>
            <w:drawing>
              <wp:inline distT="0" distB="0" distL="0" distR="0" wp14:anchorId="696D47D5" wp14:editId="5864B4A1">
                <wp:extent cx="5843270" cy="937260"/>
                <wp:effectExtent l="0" t="0" r="5080" b="0"/>
                <wp:docPr id="2028463189"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63189" name="Imagen 3"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843270" cy="937260"/>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1C2341BA" w14:textId="77777777" w:rsidR="0022570A" w:rsidRPr="004E3E30" w:rsidRDefault="0022570A" w:rsidP="00246681">
          <w:pPr>
            <w:rPr>
              <w:color w:val="000000"/>
            </w:rPr>
          </w:pPr>
        </w:p>
      </w:tc>
      <w:tc>
        <w:tcPr>
          <w:tcW w:w="1216" w:type="dxa"/>
          <w:tcBorders>
            <w:top w:val="nil"/>
            <w:left w:val="nil"/>
            <w:bottom w:val="nil"/>
            <w:right w:val="nil"/>
          </w:tcBorders>
          <w:shd w:val="clear" w:color="auto" w:fill="auto"/>
          <w:noWrap/>
          <w:vAlign w:val="bottom"/>
          <w:hideMark/>
        </w:tcPr>
        <w:p w14:paraId="0F9D457B" w14:textId="77777777" w:rsidR="0022570A" w:rsidRPr="004E3E30" w:rsidRDefault="0022570A" w:rsidP="00246681">
          <w:pPr>
            <w:rPr>
              <w:color w:val="000000"/>
            </w:rPr>
          </w:pPr>
        </w:p>
      </w:tc>
      <w:tc>
        <w:tcPr>
          <w:tcW w:w="714" w:type="dxa"/>
          <w:tcBorders>
            <w:top w:val="nil"/>
            <w:left w:val="nil"/>
            <w:bottom w:val="nil"/>
            <w:right w:val="nil"/>
          </w:tcBorders>
          <w:shd w:val="clear" w:color="auto" w:fill="auto"/>
          <w:noWrap/>
          <w:vAlign w:val="bottom"/>
          <w:hideMark/>
        </w:tcPr>
        <w:p w14:paraId="1F7F290C" w14:textId="77777777" w:rsidR="0022570A" w:rsidRPr="004E3E30" w:rsidRDefault="0022570A" w:rsidP="00246681">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22570A" w:rsidRPr="004E3E30" w14:paraId="4AEE25D3" w14:textId="77777777" w:rsidTr="008D6575">
            <w:trPr>
              <w:trHeight w:val="1950"/>
              <w:tblCellSpacing w:w="0" w:type="dxa"/>
            </w:trPr>
            <w:tc>
              <w:tcPr>
                <w:tcW w:w="1200" w:type="dxa"/>
                <w:tcBorders>
                  <w:top w:val="nil"/>
                  <w:left w:val="nil"/>
                  <w:bottom w:val="nil"/>
                  <w:right w:val="nil"/>
                </w:tcBorders>
                <w:shd w:val="clear" w:color="auto" w:fill="auto"/>
                <w:noWrap/>
                <w:vAlign w:val="center"/>
                <w:hideMark/>
              </w:tcPr>
              <w:p w14:paraId="6C566F06" w14:textId="64B3158C" w:rsidR="0022570A" w:rsidRPr="004E3E30" w:rsidRDefault="0022570A" w:rsidP="008D6575">
                <w:pPr>
                  <w:jc w:val="center"/>
                  <w:rPr>
                    <w:color w:val="000000"/>
                  </w:rPr>
                </w:pPr>
              </w:p>
            </w:tc>
          </w:tr>
        </w:tbl>
        <w:p w14:paraId="2D2DF82E" w14:textId="77777777" w:rsidR="0022570A" w:rsidRPr="004E3E30" w:rsidRDefault="0022570A" w:rsidP="00246681">
          <w:pPr>
            <w:rPr>
              <w:color w:val="000000"/>
            </w:rPr>
          </w:pPr>
        </w:p>
      </w:tc>
      <w:tc>
        <w:tcPr>
          <w:tcW w:w="160" w:type="dxa"/>
          <w:tcBorders>
            <w:top w:val="nil"/>
            <w:left w:val="nil"/>
            <w:bottom w:val="nil"/>
            <w:right w:val="nil"/>
          </w:tcBorders>
          <w:shd w:val="clear" w:color="auto" w:fill="auto"/>
          <w:noWrap/>
          <w:vAlign w:val="bottom"/>
          <w:hideMark/>
        </w:tcPr>
        <w:p w14:paraId="5796BF19" w14:textId="77777777" w:rsidR="0022570A" w:rsidRPr="004E3E30" w:rsidRDefault="0022570A" w:rsidP="0022570A">
          <w:pPr>
            <w:ind w:left="-463"/>
            <w:rPr>
              <w:color w:val="000000"/>
            </w:rPr>
          </w:pPr>
        </w:p>
      </w:tc>
      <w:tc>
        <w:tcPr>
          <w:tcW w:w="196" w:type="dxa"/>
          <w:tcBorders>
            <w:top w:val="nil"/>
            <w:left w:val="nil"/>
            <w:bottom w:val="nil"/>
            <w:right w:val="nil"/>
          </w:tcBorders>
          <w:shd w:val="clear" w:color="auto" w:fill="auto"/>
          <w:noWrap/>
          <w:vAlign w:val="bottom"/>
          <w:hideMark/>
        </w:tcPr>
        <w:p w14:paraId="4D2DF95F" w14:textId="77777777" w:rsidR="0022570A" w:rsidRPr="004E3E30" w:rsidRDefault="0022570A" w:rsidP="00246681">
          <w:pPr>
            <w:rPr>
              <w:color w:val="000000"/>
            </w:rPr>
          </w:pPr>
        </w:p>
      </w:tc>
      <w:tc>
        <w:tcPr>
          <w:tcW w:w="1130" w:type="dxa"/>
          <w:tcBorders>
            <w:top w:val="nil"/>
            <w:left w:val="nil"/>
            <w:bottom w:val="nil"/>
            <w:right w:val="nil"/>
          </w:tcBorders>
          <w:shd w:val="clear" w:color="auto" w:fill="auto"/>
          <w:vAlign w:val="center"/>
          <w:hideMark/>
        </w:tcPr>
        <w:p w14:paraId="77C4A2CD" w14:textId="77777777" w:rsidR="0022570A" w:rsidRPr="00C924AF" w:rsidRDefault="0022570A"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67B1A"/>
    <w:rsid w:val="00071B6C"/>
    <w:rsid w:val="00082519"/>
    <w:rsid w:val="000825F2"/>
    <w:rsid w:val="0008443B"/>
    <w:rsid w:val="0008725A"/>
    <w:rsid w:val="00091353"/>
    <w:rsid w:val="00096748"/>
    <w:rsid w:val="000C51A0"/>
    <w:rsid w:val="000D0CCE"/>
    <w:rsid w:val="000D3139"/>
    <w:rsid w:val="000D713D"/>
    <w:rsid w:val="000E3508"/>
    <w:rsid w:val="000F42E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C125D"/>
    <w:rsid w:val="001C191A"/>
    <w:rsid w:val="001C2828"/>
    <w:rsid w:val="001D186D"/>
    <w:rsid w:val="001F44DC"/>
    <w:rsid w:val="001F54FF"/>
    <w:rsid w:val="00201891"/>
    <w:rsid w:val="0020545B"/>
    <w:rsid w:val="0022238A"/>
    <w:rsid w:val="0022570A"/>
    <w:rsid w:val="0022671A"/>
    <w:rsid w:val="00232B30"/>
    <w:rsid w:val="00235DCB"/>
    <w:rsid w:val="00262DB3"/>
    <w:rsid w:val="00265414"/>
    <w:rsid w:val="00280811"/>
    <w:rsid w:val="00281BB4"/>
    <w:rsid w:val="0028305F"/>
    <w:rsid w:val="0028360D"/>
    <w:rsid w:val="0029544C"/>
    <w:rsid w:val="002C08C1"/>
    <w:rsid w:val="002C5464"/>
    <w:rsid w:val="002D6CBC"/>
    <w:rsid w:val="002E62FA"/>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53"/>
    <w:rsid w:val="004E35CA"/>
    <w:rsid w:val="004E7DE6"/>
    <w:rsid w:val="004F5B07"/>
    <w:rsid w:val="00502F3C"/>
    <w:rsid w:val="00504D71"/>
    <w:rsid w:val="0052157D"/>
    <w:rsid w:val="00525799"/>
    <w:rsid w:val="005400EE"/>
    <w:rsid w:val="0055372F"/>
    <w:rsid w:val="00566BF5"/>
    <w:rsid w:val="005923B6"/>
    <w:rsid w:val="005D1925"/>
    <w:rsid w:val="005F1828"/>
    <w:rsid w:val="005F65C9"/>
    <w:rsid w:val="00603A0F"/>
    <w:rsid w:val="00614C56"/>
    <w:rsid w:val="006205B2"/>
    <w:rsid w:val="00634B6E"/>
    <w:rsid w:val="00640537"/>
    <w:rsid w:val="00650337"/>
    <w:rsid w:val="006532BE"/>
    <w:rsid w:val="0066203F"/>
    <w:rsid w:val="00683C0F"/>
    <w:rsid w:val="00685695"/>
    <w:rsid w:val="00690B92"/>
    <w:rsid w:val="006B52BF"/>
    <w:rsid w:val="006C30BC"/>
    <w:rsid w:val="006C4AC7"/>
    <w:rsid w:val="006C6769"/>
    <w:rsid w:val="006C7294"/>
    <w:rsid w:val="006D5E60"/>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07AA6"/>
    <w:rsid w:val="00833A3F"/>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43BA"/>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30FF"/>
    <w:rsid w:val="00AA1BED"/>
    <w:rsid w:val="00AA7377"/>
    <w:rsid w:val="00AC5795"/>
    <w:rsid w:val="00AE0878"/>
    <w:rsid w:val="00B0176F"/>
    <w:rsid w:val="00B06901"/>
    <w:rsid w:val="00B21E78"/>
    <w:rsid w:val="00B25283"/>
    <w:rsid w:val="00B31AD8"/>
    <w:rsid w:val="00B63EBA"/>
    <w:rsid w:val="00B8582D"/>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D4278"/>
    <w:rsid w:val="00CF41D9"/>
    <w:rsid w:val="00D30DB4"/>
    <w:rsid w:val="00D32D9A"/>
    <w:rsid w:val="00D4645A"/>
    <w:rsid w:val="00D63F0B"/>
    <w:rsid w:val="00D64C10"/>
    <w:rsid w:val="00D74B8B"/>
    <w:rsid w:val="00D81383"/>
    <w:rsid w:val="00DB45FC"/>
    <w:rsid w:val="00DC5F6C"/>
    <w:rsid w:val="00DE0FD6"/>
    <w:rsid w:val="00DF42EE"/>
    <w:rsid w:val="00DF796E"/>
    <w:rsid w:val="00E01858"/>
    <w:rsid w:val="00E232AE"/>
    <w:rsid w:val="00E26430"/>
    <w:rsid w:val="00E32E44"/>
    <w:rsid w:val="00E5515B"/>
    <w:rsid w:val="00E56B0C"/>
    <w:rsid w:val="00E613AA"/>
    <w:rsid w:val="00E776C5"/>
    <w:rsid w:val="00E927E0"/>
    <w:rsid w:val="00EA1FF0"/>
    <w:rsid w:val="00EC32C7"/>
    <w:rsid w:val="00ED3828"/>
    <w:rsid w:val="00ED450B"/>
    <w:rsid w:val="00EE15BE"/>
    <w:rsid w:val="00EE783B"/>
    <w:rsid w:val="00EF38DE"/>
    <w:rsid w:val="00EF414B"/>
    <w:rsid w:val="00F13FCD"/>
    <w:rsid w:val="00F313DB"/>
    <w:rsid w:val="00F51D26"/>
    <w:rsid w:val="00F76549"/>
    <w:rsid w:val="00F835B5"/>
    <w:rsid w:val="00F87BCF"/>
    <w:rsid w:val="00F91B97"/>
    <w:rsid w:val="00FA20D5"/>
    <w:rsid w:val="00FA68AE"/>
    <w:rsid w:val="00FA767B"/>
    <w:rsid w:val="00FB53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1PC03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derecuperacion.gob.es/politicas-y-componentes/componente-17-reforma-institucional-y-fortalecimiento-de-capacidades-del-sistema-nacional-de-cienci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i.gob.es/contactanos/consultas-justificacion-economi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porte-cauidi@ciencia.gob.es" TargetMode="External"/><Relationship Id="rId4" Type="http://schemas.openxmlformats.org/officeDocument/2006/relationships/webSettings" Target="webSettings.xml"/><Relationship Id="rId9" Type="http://schemas.openxmlformats.org/officeDocument/2006/relationships/hyperlink" Target="mailto:europaexcelencia.seg@aei.gob.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8364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2023-11-23T08:23:00Z</dcterms:created>
  <dcterms:modified xsi:type="dcterms:W3CDTF">2024-03-22T05:50:00Z</dcterms:modified>
</cp:coreProperties>
</file>